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984"/>
        <w:gridCol w:w="1843"/>
        <w:gridCol w:w="2126"/>
      </w:tblGrid>
      <w:tr w:rsidR="009C4647" w:rsidRPr="002B630A" w:rsidTr="00C116C8">
        <w:tc>
          <w:tcPr>
            <w:tcW w:w="9209" w:type="dxa"/>
            <w:gridSpan w:val="4"/>
          </w:tcPr>
          <w:p w:rsidR="009C4647" w:rsidRDefault="009C4647" w:rsidP="004972D5">
            <w:pPr>
              <w:rPr>
                <w:b/>
                <w:sz w:val="20"/>
                <w:szCs w:val="20"/>
              </w:rPr>
            </w:pPr>
            <w:r w:rsidRPr="002B630A">
              <w:rPr>
                <w:b/>
                <w:sz w:val="20"/>
                <w:szCs w:val="20"/>
              </w:rPr>
              <w:t>Continuing Non</w:t>
            </w:r>
            <w:r w:rsidR="00F15B60">
              <w:rPr>
                <w:b/>
                <w:sz w:val="20"/>
                <w:szCs w:val="20"/>
              </w:rPr>
              <w:t>-S</w:t>
            </w:r>
            <w:r w:rsidRPr="002B630A">
              <w:rPr>
                <w:b/>
                <w:sz w:val="20"/>
                <w:szCs w:val="20"/>
              </w:rPr>
              <w:t>tatutory Service  (Proposed Base Budget Reduction Targets)</w:t>
            </w:r>
            <w:r w:rsidR="00B819B1">
              <w:rPr>
                <w:b/>
                <w:sz w:val="20"/>
                <w:szCs w:val="20"/>
              </w:rPr>
              <w:t xml:space="preserve"> – Template 3</w:t>
            </w:r>
          </w:p>
          <w:p w:rsidR="006070FE" w:rsidRPr="00EE4C1F" w:rsidRDefault="00694A2D" w:rsidP="009304C0">
            <w:pPr>
              <w:rPr>
                <w:b/>
                <w:sz w:val="20"/>
                <w:szCs w:val="20"/>
              </w:rPr>
            </w:pPr>
            <w:r w:rsidRPr="00EE4C1F">
              <w:rPr>
                <w:b/>
                <w:sz w:val="20"/>
                <w:szCs w:val="20"/>
              </w:rPr>
              <w:t xml:space="preserve">BOP </w:t>
            </w:r>
            <w:r w:rsidR="003B470F">
              <w:rPr>
                <w:b/>
                <w:sz w:val="20"/>
                <w:szCs w:val="20"/>
              </w:rPr>
              <w:t>0</w:t>
            </w:r>
            <w:r w:rsidRPr="00EE4C1F">
              <w:rPr>
                <w:b/>
                <w:sz w:val="20"/>
                <w:szCs w:val="20"/>
              </w:rPr>
              <w:t>43</w:t>
            </w:r>
          </w:p>
        </w:tc>
      </w:tr>
      <w:tr w:rsidR="009C4647" w:rsidRPr="002B630A" w:rsidTr="008252EB">
        <w:tc>
          <w:tcPr>
            <w:tcW w:w="3256" w:type="dxa"/>
            <w:tcBorders>
              <w:bottom w:val="single" w:sz="4" w:space="0" w:color="auto"/>
            </w:tcBorders>
          </w:tcPr>
          <w:p w:rsidR="009C4647" w:rsidRDefault="009C4647" w:rsidP="004972D5">
            <w:pPr>
              <w:rPr>
                <w:sz w:val="20"/>
                <w:szCs w:val="20"/>
              </w:rPr>
            </w:pPr>
            <w:r w:rsidRPr="002B630A">
              <w:rPr>
                <w:sz w:val="20"/>
                <w:szCs w:val="20"/>
              </w:rPr>
              <w:t>Service name</w:t>
            </w:r>
          </w:p>
          <w:p w:rsidR="00412645" w:rsidRDefault="00412645" w:rsidP="00412645">
            <w:pPr>
              <w:rPr>
                <w:rFonts w:ascii="Calibri" w:hAnsi="Calibri"/>
                <w:color w:val="000000"/>
              </w:rPr>
            </w:pPr>
            <w:r>
              <w:rPr>
                <w:rFonts w:ascii="Calibri" w:hAnsi="Calibri"/>
                <w:color w:val="000000"/>
              </w:rPr>
              <w:t>CULTURAL SERVICES – (BBR 074)</w:t>
            </w:r>
          </w:p>
          <w:p w:rsidR="00D64925" w:rsidRPr="002B630A" w:rsidRDefault="00412645" w:rsidP="00412645">
            <w:pPr>
              <w:rPr>
                <w:sz w:val="20"/>
                <w:szCs w:val="20"/>
              </w:rPr>
            </w:pPr>
            <w:r>
              <w:rPr>
                <w:rFonts w:ascii="Calibri" w:hAnsi="Calibri"/>
                <w:color w:val="000000"/>
              </w:rPr>
              <w:t xml:space="preserve">LANCASHIRE MUSEUMS </w:t>
            </w:r>
          </w:p>
        </w:tc>
        <w:tc>
          <w:tcPr>
            <w:tcW w:w="5953" w:type="dxa"/>
            <w:gridSpan w:val="3"/>
            <w:tcBorders>
              <w:bottom w:val="single" w:sz="4" w:space="0" w:color="auto"/>
            </w:tcBorders>
          </w:tcPr>
          <w:p w:rsidR="009C4647" w:rsidRPr="002B630A" w:rsidRDefault="00AF1D82" w:rsidP="004972D5">
            <w:pPr>
              <w:rPr>
                <w:sz w:val="20"/>
                <w:szCs w:val="20"/>
              </w:rPr>
            </w:pPr>
            <w:r>
              <w:rPr>
                <w:sz w:val="20"/>
                <w:szCs w:val="20"/>
              </w:rPr>
              <w:t>S</w:t>
            </w:r>
            <w:r w:rsidR="006070FE">
              <w:rPr>
                <w:sz w:val="20"/>
                <w:szCs w:val="20"/>
              </w:rPr>
              <w:t>ervice description</w:t>
            </w:r>
            <w:r>
              <w:rPr>
                <w:sz w:val="20"/>
                <w:szCs w:val="20"/>
              </w:rPr>
              <w:t xml:space="preserve">: Please see over </w:t>
            </w:r>
          </w:p>
        </w:tc>
      </w:tr>
      <w:tr w:rsidR="009C4647" w:rsidRPr="002B630A" w:rsidTr="008252EB">
        <w:tc>
          <w:tcPr>
            <w:tcW w:w="3256" w:type="dxa"/>
            <w:tcBorders>
              <w:bottom w:val="nil"/>
            </w:tcBorders>
          </w:tcPr>
          <w:p w:rsidR="009C4647" w:rsidRPr="002B630A" w:rsidRDefault="009C4647" w:rsidP="004972D5">
            <w:pPr>
              <w:rPr>
                <w:sz w:val="20"/>
                <w:szCs w:val="20"/>
              </w:rPr>
            </w:pPr>
          </w:p>
        </w:tc>
        <w:tc>
          <w:tcPr>
            <w:tcW w:w="1984" w:type="dxa"/>
            <w:tcBorders>
              <w:bottom w:val="nil"/>
            </w:tcBorders>
          </w:tcPr>
          <w:p w:rsidR="009C4647" w:rsidRPr="00084304" w:rsidRDefault="009C4647" w:rsidP="00C3384B">
            <w:pPr>
              <w:jc w:val="center"/>
              <w:rPr>
                <w:b/>
                <w:sz w:val="20"/>
                <w:szCs w:val="20"/>
              </w:rPr>
            </w:pPr>
            <w:r w:rsidRPr="00084304">
              <w:rPr>
                <w:b/>
                <w:sz w:val="20"/>
                <w:szCs w:val="20"/>
              </w:rPr>
              <w:t>2015/16</w:t>
            </w:r>
          </w:p>
        </w:tc>
        <w:tc>
          <w:tcPr>
            <w:tcW w:w="1843" w:type="dxa"/>
            <w:tcBorders>
              <w:bottom w:val="nil"/>
            </w:tcBorders>
          </w:tcPr>
          <w:p w:rsidR="009C4647" w:rsidRPr="00084304" w:rsidRDefault="009C4647" w:rsidP="00C3384B">
            <w:pPr>
              <w:jc w:val="center"/>
              <w:rPr>
                <w:b/>
                <w:sz w:val="20"/>
                <w:szCs w:val="20"/>
              </w:rPr>
            </w:pPr>
            <w:r w:rsidRPr="00084304">
              <w:rPr>
                <w:b/>
                <w:sz w:val="20"/>
                <w:szCs w:val="20"/>
              </w:rPr>
              <w:t>2016/17</w:t>
            </w:r>
          </w:p>
        </w:tc>
        <w:tc>
          <w:tcPr>
            <w:tcW w:w="2126" w:type="dxa"/>
            <w:tcBorders>
              <w:bottom w:val="nil"/>
            </w:tcBorders>
          </w:tcPr>
          <w:p w:rsidR="009C4647" w:rsidRPr="00084304" w:rsidRDefault="009C4647" w:rsidP="00C3384B">
            <w:pPr>
              <w:jc w:val="center"/>
              <w:rPr>
                <w:b/>
                <w:sz w:val="20"/>
                <w:szCs w:val="20"/>
              </w:rPr>
            </w:pPr>
            <w:r w:rsidRPr="00084304">
              <w:rPr>
                <w:b/>
                <w:sz w:val="20"/>
                <w:szCs w:val="20"/>
              </w:rPr>
              <w:t>2017/18</w:t>
            </w:r>
          </w:p>
        </w:tc>
      </w:tr>
      <w:tr w:rsidR="008252EB" w:rsidRPr="002B630A" w:rsidTr="008252EB">
        <w:tc>
          <w:tcPr>
            <w:tcW w:w="3256" w:type="dxa"/>
            <w:tcBorders>
              <w:top w:val="nil"/>
              <w:bottom w:val="single" w:sz="4" w:space="0" w:color="auto"/>
            </w:tcBorders>
          </w:tcPr>
          <w:p w:rsidR="008252EB" w:rsidRPr="002B630A" w:rsidRDefault="008252EB" w:rsidP="004972D5">
            <w:pPr>
              <w:rPr>
                <w:sz w:val="20"/>
                <w:szCs w:val="20"/>
              </w:rPr>
            </w:pPr>
          </w:p>
        </w:tc>
        <w:tc>
          <w:tcPr>
            <w:tcW w:w="1984" w:type="dxa"/>
            <w:tcBorders>
              <w:top w:val="nil"/>
              <w:bottom w:val="single" w:sz="4" w:space="0" w:color="auto"/>
            </w:tcBorders>
          </w:tcPr>
          <w:p w:rsidR="008252EB" w:rsidRPr="00084304" w:rsidRDefault="008252EB" w:rsidP="00C3384B">
            <w:pPr>
              <w:jc w:val="center"/>
              <w:rPr>
                <w:b/>
                <w:sz w:val="20"/>
                <w:szCs w:val="20"/>
              </w:rPr>
            </w:pPr>
            <w:r>
              <w:rPr>
                <w:b/>
                <w:sz w:val="20"/>
                <w:szCs w:val="20"/>
              </w:rPr>
              <w:t>£m</w:t>
            </w:r>
          </w:p>
        </w:tc>
        <w:tc>
          <w:tcPr>
            <w:tcW w:w="1843" w:type="dxa"/>
            <w:tcBorders>
              <w:top w:val="nil"/>
              <w:bottom w:val="single" w:sz="4" w:space="0" w:color="auto"/>
            </w:tcBorders>
          </w:tcPr>
          <w:p w:rsidR="008252EB" w:rsidRPr="00084304" w:rsidRDefault="008252EB" w:rsidP="00C3384B">
            <w:pPr>
              <w:jc w:val="center"/>
              <w:rPr>
                <w:b/>
                <w:sz w:val="20"/>
                <w:szCs w:val="20"/>
              </w:rPr>
            </w:pPr>
            <w:r>
              <w:rPr>
                <w:b/>
                <w:sz w:val="20"/>
                <w:szCs w:val="20"/>
              </w:rPr>
              <w:t>£m</w:t>
            </w:r>
          </w:p>
        </w:tc>
        <w:tc>
          <w:tcPr>
            <w:tcW w:w="2126" w:type="dxa"/>
            <w:tcBorders>
              <w:top w:val="nil"/>
              <w:bottom w:val="single" w:sz="4" w:space="0" w:color="auto"/>
            </w:tcBorders>
          </w:tcPr>
          <w:p w:rsidR="008252EB" w:rsidRPr="00084304" w:rsidRDefault="008252EB" w:rsidP="00C3384B">
            <w:pPr>
              <w:jc w:val="center"/>
              <w:rPr>
                <w:b/>
                <w:sz w:val="20"/>
                <w:szCs w:val="20"/>
              </w:rPr>
            </w:pPr>
            <w:r>
              <w:rPr>
                <w:b/>
                <w:sz w:val="20"/>
                <w:szCs w:val="20"/>
              </w:rPr>
              <w:t>£m</w:t>
            </w:r>
          </w:p>
        </w:tc>
      </w:tr>
      <w:tr w:rsidR="00851317" w:rsidRPr="002B630A" w:rsidTr="008252EB">
        <w:tc>
          <w:tcPr>
            <w:tcW w:w="3256" w:type="dxa"/>
            <w:tcBorders>
              <w:top w:val="nil"/>
              <w:bottom w:val="single" w:sz="4" w:space="0" w:color="auto"/>
            </w:tcBorders>
          </w:tcPr>
          <w:p w:rsidR="00851317" w:rsidRPr="004D588F" w:rsidRDefault="00851317" w:rsidP="00851317">
            <w:pPr>
              <w:rPr>
                <w:sz w:val="20"/>
                <w:szCs w:val="20"/>
              </w:rPr>
            </w:pPr>
            <w:r>
              <w:rPr>
                <w:sz w:val="20"/>
                <w:szCs w:val="20"/>
              </w:rPr>
              <w:t>Forecast before savings</w:t>
            </w:r>
          </w:p>
        </w:tc>
        <w:tc>
          <w:tcPr>
            <w:tcW w:w="1984" w:type="dxa"/>
            <w:tcBorders>
              <w:top w:val="nil"/>
              <w:bottom w:val="single" w:sz="4" w:space="0" w:color="auto"/>
            </w:tcBorders>
          </w:tcPr>
          <w:p w:rsidR="00851317" w:rsidRPr="00877382" w:rsidRDefault="00851317" w:rsidP="00851317">
            <w:pPr>
              <w:jc w:val="right"/>
              <w:rPr>
                <w:sz w:val="20"/>
                <w:szCs w:val="20"/>
              </w:rPr>
            </w:pPr>
            <w:r w:rsidRPr="00FB7ABB">
              <w:rPr>
                <w:noProof/>
                <w:sz w:val="20"/>
                <w:szCs w:val="20"/>
              </w:rPr>
              <w:t>1.232</w:t>
            </w:r>
          </w:p>
        </w:tc>
        <w:tc>
          <w:tcPr>
            <w:tcW w:w="1843" w:type="dxa"/>
            <w:tcBorders>
              <w:top w:val="nil"/>
              <w:bottom w:val="single" w:sz="4" w:space="0" w:color="auto"/>
            </w:tcBorders>
          </w:tcPr>
          <w:p w:rsidR="00851317" w:rsidRPr="00877382" w:rsidRDefault="00851317" w:rsidP="00851317">
            <w:pPr>
              <w:jc w:val="right"/>
              <w:rPr>
                <w:sz w:val="20"/>
                <w:szCs w:val="20"/>
              </w:rPr>
            </w:pPr>
            <w:r w:rsidRPr="00FB7ABB">
              <w:rPr>
                <w:noProof/>
                <w:sz w:val="20"/>
                <w:szCs w:val="20"/>
              </w:rPr>
              <w:t>1.257</w:t>
            </w:r>
          </w:p>
        </w:tc>
        <w:tc>
          <w:tcPr>
            <w:tcW w:w="2126" w:type="dxa"/>
            <w:tcBorders>
              <w:top w:val="nil"/>
              <w:bottom w:val="single" w:sz="4" w:space="0" w:color="auto"/>
            </w:tcBorders>
          </w:tcPr>
          <w:p w:rsidR="00851317" w:rsidRPr="00877382" w:rsidRDefault="00851317" w:rsidP="00851317">
            <w:pPr>
              <w:jc w:val="right"/>
              <w:rPr>
                <w:sz w:val="20"/>
                <w:szCs w:val="20"/>
              </w:rPr>
            </w:pPr>
            <w:r w:rsidRPr="00FB7ABB">
              <w:rPr>
                <w:noProof/>
                <w:sz w:val="20"/>
                <w:szCs w:val="20"/>
              </w:rPr>
              <w:t>1.289</w:t>
            </w:r>
          </w:p>
        </w:tc>
      </w:tr>
      <w:tr w:rsidR="00851317" w:rsidRPr="002B630A" w:rsidTr="008252EB">
        <w:tc>
          <w:tcPr>
            <w:tcW w:w="3256" w:type="dxa"/>
            <w:tcBorders>
              <w:top w:val="nil"/>
              <w:bottom w:val="single" w:sz="4" w:space="0" w:color="auto"/>
            </w:tcBorders>
          </w:tcPr>
          <w:p w:rsidR="00851317" w:rsidRDefault="00851317" w:rsidP="00851317">
            <w:pPr>
              <w:rPr>
                <w:sz w:val="20"/>
                <w:szCs w:val="20"/>
              </w:rPr>
            </w:pPr>
            <w:r>
              <w:rPr>
                <w:sz w:val="20"/>
                <w:szCs w:val="20"/>
              </w:rPr>
              <w:t>Budgeted savings (cumulative)</w:t>
            </w:r>
          </w:p>
        </w:tc>
        <w:tc>
          <w:tcPr>
            <w:tcW w:w="1984" w:type="dxa"/>
            <w:tcBorders>
              <w:top w:val="nil"/>
              <w:bottom w:val="single" w:sz="4" w:space="0" w:color="auto"/>
            </w:tcBorders>
          </w:tcPr>
          <w:p w:rsidR="00851317" w:rsidRPr="00877382" w:rsidRDefault="00851317" w:rsidP="00851317">
            <w:pPr>
              <w:jc w:val="right"/>
              <w:rPr>
                <w:sz w:val="20"/>
                <w:szCs w:val="20"/>
              </w:rPr>
            </w:pPr>
            <w:r w:rsidRPr="00FB7ABB">
              <w:rPr>
                <w:noProof/>
                <w:sz w:val="20"/>
                <w:szCs w:val="20"/>
              </w:rPr>
              <w:t>-0.002</w:t>
            </w:r>
          </w:p>
        </w:tc>
        <w:tc>
          <w:tcPr>
            <w:tcW w:w="1843" w:type="dxa"/>
            <w:tcBorders>
              <w:top w:val="nil"/>
              <w:bottom w:val="single" w:sz="4" w:space="0" w:color="auto"/>
            </w:tcBorders>
          </w:tcPr>
          <w:p w:rsidR="00851317" w:rsidRPr="00877382" w:rsidRDefault="00851317" w:rsidP="00851317">
            <w:pPr>
              <w:jc w:val="right"/>
              <w:rPr>
                <w:sz w:val="20"/>
                <w:szCs w:val="20"/>
              </w:rPr>
            </w:pPr>
            <w:r w:rsidRPr="00FB7ABB">
              <w:rPr>
                <w:noProof/>
                <w:sz w:val="20"/>
                <w:szCs w:val="20"/>
              </w:rPr>
              <w:t>-0.062</w:t>
            </w:r>
          </w:p>
        </w:tc>
        <w:tc>
          <w:tcPr>
            <w:tcW w:w="2126" w:type="dxa"/>
            <w:tcBorders>
              <w:top w:val="nil"/>
              <w:bottom w:val="single" w:sz="4" w:space="0" w:color="auto"/>
            </w:tcBorders>
          </w:tcPr>
          <w:p w:rsidR="00851317" w:rsidRPr="00877382" w:rsidRDefault="00851317" w:rsidP="00851317">
            <w:pPr>
              <w:jc w:val="right"/>
              <w:rPr>
                <w:sz w:val="20"/>
                <w:szCs w:val="20"/>
              </w:rPr>
            </w:pPr>
            <w:r w:rsidRPr="00FB7ABB">
              <w:rPr>
                <w:noProof/>
                <w:sz w:val="20"/>
                <w:szCs w:val="20"/>
              </w:rPr>
              <w:t>-0.118</w:t>
            </w:r>
          </w:p>
        </w:tc>
      </w:tr>
      <w:tr w:rsidR="00851317" w:rsidRPr="002B630A" w:rsidTr="008252EB">
        <w:tc>
          <w:tcPr>
            <w:tcW w:w="3256" w:type="dxa"/>
            <w:shd w:val="clear" w:color="auto" w:fill="auto"/>
          </w:tcPr>
          <w:p w:rsidR="00851317" w:rsidRDefault="00851317" w:rsidP="00851317">
            <w:pPr>
              <w:rPr>
                <w:sz w:val="20"/>
                <w:szCs w:val="20"/>
              </w:rPr>
            </w:pPr>
            <w:r>
              <w:rPr>
                <w:sz w:val="20"/>
                <w:szCs w:val="20"/>
              </w:rPr>
              <w:t>Planned net expenditure</w:t>
            </w:r>
            <w:r w:rsidRPr="004D588F">
              <w:rPr>
                <w:sz w:val="20"/>
                <w:szCs w:val="20"/>
              </w:rPr>
              <w:t xml:space="preserve"> </w:t>
            </w:r>
          </w:p>
          <w:p w:rsidR="00851317" w:rsidRDefault="00851317" w:rsidP="00851317">
            <w:pPr>
              <w:rPr>
                <w:sz w:val="20"/>
                <w:szCs w:val="20"/>
              </w:rPr>
            </w:pPr>
            <w:r>
              <w:rPr>
                <w:sz w:val="20"/>
                <w:szCs w:val="20"/>
              </w:rPr>
              <w:t>(A</w:t>
            </w:r>
            <w:r w:rsidRPr="004D588F">
              <w:rPr>
                <w:sz w:val="20"/>
                <w:szCs w:val="20"/>
              </w:rPr>
              <w:t xml:space="preserve">pproved </w:t>
            </w:r>
            <w:r w:rsidRPr="00B25405">
              <w:rPr>
                <w:b/>
                <w:sz w:val="20"/>
                <w:szCs w:val="20"/>
              </w:rPr>
              <w:t>2015</w:t>
            </w:r>
            <w:r>
              <w:rPr>
                <w:b/>
                <w:sz w:val="20"/>
                <w:szCs w:val="20"/>
              </w:rPr>
              <w:t xml:space="preserve"> net</w:t>
            </w:r>
            <w:r w:rsidRPr="00B25405">
              <w:rPr>
                <w:b/>
                <w:sz w:val="20"/>
                <w:szCs w:val="20"/>
              </w:rPr>
              <w:t xml:space="preserve"> budget</w:t>
            </w:r>
            <w:r w:rsidRPr="004D588F">
              <w:rPr>
                <w:sz w:val="20"/>
                <w:szCs w:val="20"/>
              </w:rPr>
              <w:t>)</w:t>
            </w:r>
          </w:p>
        </w:tc>
        <w:tc>
          <w:tcPr>
            <w:tcW w:w="1984" w:type="dxa"/>
            <w:shd w:val="clear" w:color="auto" w:fill="auto"/>
          </w:tcPr>
          <w:p w:rsidR="00851317" w:rsidRPr="00877382" w:rsidRDefault="00851317" w:rsidP="00851317">
            <w:pPr>
              <w:jc w:val="right"/>
              <w:rPr>
                <w:sz w:val="20"/>
                <w:szCs w:val="20"/>
              </w:rPr>
            </w:pPr>
            <w:r w:rsidRPr="00FB7ABB">
              <w:rPr>
                <w:noProof/>
                <w:sz w:val="20"/>
                <w:szCs w:val="20"/>
              </w:rPr>
              <w:t>1.230</w:t>
            </w:r>
          </w:p>
        </w:tc>
        <w:tc>
          <w:tcPr>
            <w:tcW w:w="1843" w:type="dxa"/>
            <w:shd w:val="clear" w:color="auto" w:fill="auto"/>
          </w:tcPr>
          <w:p w:rsidR="00851317" w:rsidRPr="00877382" w:rsidRDefault="00851317" w:rsidP="00851317">
            <w:pPr>
              <w:jc w:val="right"/>
              <w:rPr>
                <w:sz w:val="20"/>
                <w:szCs w:val="20"/>
              </w:rPr>
            </w:pPr>
            <w:r w:rsidRPr="00FB7ABB">
              <w:rPr>
                <w:noProof/>
                <w:sz w:val="20"/>
                <w:szCs w:val="20"/>
              </w:rPr>
              <w:t>1.195</w:t>
            </w:r>
          </w:p>
        </w:tc>
        <w:tc>
          <w:tcPr>
            <w:tcW w:w="2126" w:type="dxa"/>
            <w:shd w:val="clear" w:color="auto" w:fill="auto"/>
          </w:tcPr>
          <w:p w:rsidR="00851317" w:rsidRPr="00877382" w:rsidRDefault="00851317" w:rsidP="00851317">
            <w:pPr>
              <w:jc w:val="right"/>
              <w:rPr>
                <w:sz w:val="20"/>
                <w:szCs w:val="20"/>
              </w:rPr>
            </w:pPr>
            <w:r w:rsidRPr="00FB7ABB">
              <w:rPr>
                <w:noProof/>
                <w:sz w:val="20"/>
                <w:szCs w:val="20"/>
              </w:rPr>
              <w:t>1.171</w:t>
            </w:r>
          </w:p>
        </w:tc>
      </w:tr>
      <w:tr w:rsidR="00851317" w:rsidRPr="002B630A" w:rsidTr="00452C66">
        <w:tc>
          <w:tcPr>
            <w:tcW w:w="3256" w:type="dxa"/>
            <w:shd w:val="clear" w:color="auto" w:fill="D9D9D9" w:themeFill="background1" w:themeFillShade="D9"/>
          </w:tcPr>
          <w:p w:rsidR="00851317" w:rsidRDefault="00851317" w:rsidP="00851317">
            <w:pPr>
              <w:rPr>
                <w:sz w:val="20"/>
                <w:szCs w:val="20"/>
              </w:rPr>
            </w:pPr>
          </w:p>
        </w:tc>
        <w:tc>
          <w:tcPr>
            <w:tcW w:w="1984" w:type="dxa"/>
            <w:shd w:val="clear" w:color="auto" w:fill="D9D9D9" w:themeFill="background1" w:themeFillShade="D9"/>
          </w:tcPr>
          <w:p w:rsidR="00851317" w:rsidRPr="002B630A" w:rsidRDefault="00851317" w:rsidP="00851317">
            <w:pPr>
              <w:jc w:val="right"/>
              <w:rPr>
                <w:sz w:val="20"/>
                <w:szCs w:val="20"/>
              </w:rPr>
            </w:pPr>
          </w:p>
        </w:tc>
        <w:tc>
          <w:tcPr>
            <w:tcW w:w="1843" w:type="dxa"/>
            <w:shd w:val="clear" w:color="auto" w:fill="D9D9D9" w:themeFill="background1" w:themeFillShade="D9"/>
          </w:tcPr>
          <w:p w:rsidR="00851317" w:rsidRPr="002B630A" w:rsidRDefault="00851317" w:rsidP="00851317">
            <w:pPr>
              <w:jc w:val="right"/>
              <w:rPr>
                <w:sz w:val="20"/>
                <w:szCs w:val="20"/>
              </w:rPr>
            </w:pPr>
          </w:p>
        </w:tc>
        <w:tc>
          <w:tcPr>
            <w:tcW w:w="2126" w:type="dxa"/>
            <w:shd w:val="clear" w:color="auto" w:fill="D9D9D9" w:themeFill="background1" w:themeFillShade="D9"/>
          </w:tcPr>
          <w:p w:rsidR="00851317" w:rsidRPr="002B630A" w:rsidRDefault="00851317" w:rsidP="00851317">
            <w:pPr>
              <w:jc w:val="right"/>
              <w:rPr>
                <w:sz w:val="20"/>
                <w:szCs w:val="20"/>
              </w:rPr>
            </w:pPr>
          </w:p>
        </w:tc>
      </w:tr>
      <w:tr w:rsidR="00851317" w:rsidRPr="002B630A" w:rsidTr="00594954">
        <w:tc>
          <w:tcPr>
            <w:tcW w:w="3256" w:type="dxa"/>
          </w:tcPr>
          <w:p w:rsidR="00851317" w:rsidRPr="00EA1D7C" w:rsidRDefault="00851317" w:rsidP="00851317">
            <w:pPr>
              <w:rPr>
                <w:sz w:val="20"/>
                <w:szCs w:val="20"/>
              </w:rPr>
            </w:pPr>
            <w:r>
              <w:rPr>
                <w:sz w:val="20"/>
                <w:szCs w:val="20"/>
              </w:rPr>
              <w:t>August 15 monitoring position</w:t>
            </w:r>
          </w:p>
        </w:tc>
        <w:tc>
          <w:tcPr>
            <w:tcW w:w="1984" w:type="dxa"/>
            <w:shd w:val="clear" w:color="auto" w:fill="auto"/>
          </w:tcPr>
          <w:p w:rsidR="00851317" w:rsidRPr="002B630A" w:rsidRDefault="00851317" w:rsidP="00851317">
            <w:pPr>
              <w:jc w:val="right"/>
              <w:rPr>
                <w:sz w:val="20"/>
                <w:szCs w:val="20"/>
              </w:rPr>
            </w:pPr>
            <w:r w:rsidRPr="00FB7ABB">
              <w:rPr>
                <w:noProof/>
                <w:sz w:val="20"/>
                <w:szCs w:val="20"/>
              </w:rPr>
              <w:t>0.000</w:t>
            </w:r>
          </w:p>
        </w:tc>
        <w:tc>
          <w:tcPr>
            <w:tcW w:w="1843" w:type="dxa"/>
            <w:shd w:val="clear" w:color="auto" w:fill="auto"/>
          </w:tcPr>
          <w:p w:rsidR="00851317" w:rsidRPr="002B630A" w:rsidRDefault="00851317" w:rsidP="00851317">
            <w:pPr>
              <w:jc w:val="right"/>
              <w:rPr>
                <w:sz w:val="20"/>
                <w:szCs w:val="20"/>
              </w:rPr>
            </w:pPr>
          </w:p>
        </w:tc>
        <w:tc>
          <w:tcPr>
            <w:tcW w:w="2126" w:type="dxa"/>
            <w:shd w:val="clear" w:color="auto" w:fill="auto"/>
          </w:tcPr>
          <w:p w:rsidR="00851317" w:rsidRPr="002B630A" w:rsidRDefault="00851317" w:rsidP="00851317">
            <w:pPr>
              <w:jc w:val="right"/>
              <w:rPr>
                <w:sz w:val="20"/>
                <w:szCs w:val="20"/>
              </w:rPr>
            </w:pPr>
          </w:p>
        </w:tc>
      </w:tr>
      <w:tr w:rsidR="00851317" w:rsidRPr="002B630A" w:rsidTr="00C3384B">
        <w:tc>
          <w:tcPr>
            <w:tcW w:w="3256" w:type="dxa"/>
          </w:tcPr>
          <w:p w:rsidR="00851317" w:rsidRPr="00EA1D7C" w:rsidRDefault="00851317" w:rsidP="00851317">
            <w:pPr>
              <w:rPr>
                <w:sz w:val="20"/>
                <w:szCs w:val="20"/>
              </w:rPr>
            </w:pPr>
            <w:r w:rsidRPr="00EA1D7C">
              <w:rPr>
                <w:sz w:val="20"/>
                <w:szCs w:val="20"/>
              </w:rPr>
              <w:t>Demand variations</w:t>
            </w:r>
            <w:r>
              <w:rPr>
                <w:sz w:val="20"/>
                <w:szCs w:val="20"/>
              </w:rPr>
              <w:t xml:space="preserve"> (cumulative)</w:t>
            </w:r>
          </w:p>
        </w:tc>
        <w:tc>
          <w:tcPr>
            <w:tcW w:w="1984" w:type="dxa"/>
            <w:tcBorders>
              <w:bottom w:val="single" w:sz="4" w:space="0" w:color="auto"/>
            </w:tcBorders>
          </w:tcPr>
          <w:p w:rsidR="00851317" w:rsidRPr="002B630A" w:rsidRDefault="00851317" w:rsidP="00851317">
            <w:pPr>
              <w:jc w:val="right"/>
              <w:rPr>
                <w:sz w:val="20"/>
                <w:szCs w:val="20"/>
              </w:rPr>
            </w:pPr>
          </w:p>
        </w:tc>
        <w:tc>
          <w:tcPr>
            <w:tcW w:w="1843" w:type="dxa"/>
            <w:tcBorders>
              <w:bottom w:val="single" w:sz="4" w:space="0" w:color="auto"/>
            </w:tcBorders>
          </w:tcPr>
          <w:p w:rsidR="00851317" w:rsidRPr="002B630A" w:rsidRDefault="00851317" w:rsidP="00851317">
            <w:pPr>
              <w:jc w:val="right"/>
              <w:rPr>
                <w:sz w:val="20"/>
                <w:szCs w:val="20"/>
              </w:rPr>
            </w:pPr>
            <w:r w:rsidRPr="00FB7ABB">
              <w:rPr>
                <w:noProof/>
                <w:sz w:val="20"/>
                <w:szCs w:val="20"/>
              </w:rPr>
              <w:t>0.000</w:t>
            </w:r>
          </w:p>
        </w:tc>
        <w:tc>
          <w:tcPr>
            <w:tcW w:w="2126" w:type="dxa"/>
            <w:tcBorders>
              <w:bottom w:val="single" w:sz="4" w:space="0" w:color="auto"/>
            </w:tcBorders>
          </w:tcPr>
          <w:p w:rsidR="00851317" w:rsidRPr="002B630A" w:rsidRDefault="00851317" w:rsidP="00851317">
            <w:pPr>
              <w:jc w:val="right"/>
              <w:rPr>
                <w:sz w:val="20"/>
                <w:szCs w:val="20"/>
              </w:rPr>
            </w:pPr>
            <w:r w:rsidRPr="00FB7ABB">
              <w:rPr>
                <w:noProof/>
                <w:sz w:val="20"/>
                <w:szCs w:val="20"/>
              </w:rPr>
              <w:t>0.000</w:t>
            </w:r>
          </w:p>
        </w:tc>
      </w:tr>
      <w:tr w:rsidR="00851317" w:rsidRPr="002B630A" w:rsidTr="00C3384B">
        <w:tc>
          <w:tcPr>
            <w:tcW w:w="3256" w:type="dxa"/>
            <w:tcBorders>
              <w:right w:val="single" w:sz="4" w:space="0" w:color="auto"/>
            </w:tcBorders>
          </w:tcPr>
          <w:p w:rsidR="00851317" w:rsidRPr="00EA1D7C" w:rsidRDefault="00851317" w:rsidP="00851317">
            <w:pPr>
              <w:rPr>
                <w:sz w:val="20"/>
                <w:szCs w:val="20"/>
              </w:rPr>
            </w:pPr>
            <w:r>
              <w:rPr>
                <w:sz w:val="20"/>
                <w:szCs w:val="20"/>
              </w:rPr>
              <w:t>Price variations (cumulative)</w:t>
            </w:r>
          </w:p>
        </w:tc>
        <w:tc>
          <w:tcPr>
            <w:tcW w:w="1984" w:type="dxa"/>
            <w:tcBorders>
              <w:top w:val="single" w:sz="4" w:space="0" w:color="auto"/>
              <w:left w:val="single" w:sz="4" w:space="0" w:color="auto"/>
              <w:bottom w:val="single" w:sz="4" w:space="0" w:color="auto"/>
              <w:right w:val="single" w:sz="4" w:space="0" w:color="auto"/>
            </w:tcBorders>
          </w:tcPr>
          <w:p w:rsidR="00851317" w:rsidRPr="002B630A" w:rsidRDefault="00851317" w:rsidP="00851317">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851317" w:rsidRPr="002B630A" w:rsidRDefault="00851317" w:rsidP="00851317">
            <w:pPr>
              <w:jc w:val="right"/>
              <w:rPr>
                <w:sz w:val="20"/>
                <w:szCs w:val="20"/>
              </w:rPr>
            </w:pPr>
            <w:r w:rsidRPr="00FB7ABB">
              <w:rPr>
                <w:noProof/>
                <w:sz w:val="20"/>
                <w:szCs w:val="20"/>
              </w:rPr>
              <w:t>-0.015</w:t>
            </w:r>
          </w:p>
        </w:tc>
        <w:tc>
          <w:tcPr>
            <w:tcW w:w="2126" w:type="dxa"/>
            <w:tcBorders>
              <w:top w:val="single" w:sz="4" w:space="0" w:color="auto"/>
              <w:left w:val="single" w:sz="4" w:space="0" w:color="auto"/>
              <w:bottom w:val="single" w:sz="4" w:space="0" w:color="auto"/>
              <w:right w:val="single" w:sz="4" w:space="0" w:color="auto"/>
            </w:tcBorders>
          </w:tcPr>
          <w:p w:rsidR="00851317" w:rsidRPr="002B630A" w:rsidRDefault="00851317" w:rsidP="00851317">
            <w:pPr>
              <w:jc w:val="right"/>
              <w:rPr>
                <w:sz w:val="20"/>
                <w:szCs w:val="20"/>
              </w:rPr>
            </w:pPr>
            <w:r w:rsidRPr="00FB7ABB">
              <w:rPr>
                <w:noProof/>
                <w:sz w:val="20"/>
                <w:szCs w:val="20"/>
              </w:rPr>
              <w:t>-0.030</w:t>
            </w:r>
          </w:p>
        </w:tc>
      </w:tr>
      <w:tr w:rsidR="00851317" w:rsidRPr="002B630A" w:rsidTr="00C3384B">
        <w:tc>
          <w:tcPr>
            <w:tcW w:w="3256" w:type="dxa"/>
            <w:tcBorders>
              <w:right w:val="single" w:sz="4" w:space="0" w:color="auto"/>
            </w:tcBorders>
          </w:tcPr>
          <w:p w:rsidR="00851317" w:rsidRPr="004D588F" w:rsidRDefault="00851317" w:rsidP="00851317">
            <w:pPr>
              <w:rPr>
                <w:sz w:val="20"/>
                <w:szCs w:val="20"/>
              </w:rPr>
            </w:pPr>
            <w:r>
              <w:rPr>
                <w:sz w:val="20"/>
                <w:szCs w:val="20"/>
              </w:rPr>
              <w:t xml:space="preserve">Undeliverable savings (cumulative) </w:t>
            </w:r>
          </w:p>
        </w:tc>
        <w:tc>
          <w:tcPr>
            <w:tcW w:w="1984" w:type="dxa"/>
            <w:tcBorders>
              <w:top w:val="single" w:sz="4" w:space="0" w:color="auto"/>
              <w:left w:val="single" w:sz="4" w:space="0" w:color="auto"/>
              <w:bottom w:val="single" w:sz="4" w:space="0" w:color="auto"/>
              <w:right w:val="single" w:sz="4" w:space="0" w:color="auto"/>
            </w:tcBorders>
          </w:tcPr>
          <w:p w:rsidR="00851317" w:rsidRPr="002B630A" w:rsidRDefault="00851317" w:rsidP="00851317">
            <w:pPr>
              <w:jc w:val="right"/>
              <w:rPr>
                <w:sz w:val="20"/>
                <w:szCs w:val="20"/>
              </w:rPr>
            </w:pPr>
            <w:r w:rsidRPr="00FB7ABB">
              <w:rPr>
                <w:noProof/>
                <w:sz w:val="20"/>
                <w:szCs w:val="20"/>
              </w:rPr>
              <w:t>0.000</w:t>
            </w:r>
          </w:p>
        </w:tc>
        <w:tc>
          <w:tcPr>
            <w:tcW w:w="1843" w:type="dxa"/>
            <w:tcBorders>
              <w:top w:val="single" w:sz="4" w:space="0" w:color="auto"/>
              <w:left w:val="single" w:sz="4" w:space="0" w:color="auto"/>
              <w:bottom w:val="single" w:sz="4" w:space="0" w:color="auto"/>
              <w:right w:val="single" w:sz="4" w:space="0" w:color="auto"/>
            </w:tcBorders>
          </w:tcPr>
          <w:p w:rsidR="00851317" w:rsidRPr="002B630A" w:rsidRDefault="00851317" w:rsidP="00851317">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851317" w:rsidRPr="002B630A" w:rsidRDefault="00851317" w:rsidP="00851317">
            <w:pPr>
              <w:jc w:val="right"/>
              <w:rPr>
                <w:sz w:val="20"/>
                <w:szCs w:val="20"/>
              </w:rPr>
            </w:pPr>
            <w:r w:rsidRPr="00FB7ABB">
              <w:rPr>
                <w:noProof/>
                <w:sz w:val="20"/>
                <w:szCs w:val="20"/>
              </w:rPr>
              <w:t>0.000</w:t>
            </w:r>
          </w:p>
        </w:tc>
      </w:tr>
      <w:tr w:rsidR="00851317" w:rsidRPr="002B630A" w:rsidTr="00C3384B">
        <w:tc>
          <w:tcPr>
            <w:tcW w:w="3256" w:type="dxa"/>
            <w:tcBorders>
              <w:right w:val="single" w:sz="4" w:space="0" w:color="auto"/>
            </w:tcBorders>
          </w:tcPr>
          <w:p w:rsidR="00851317" w:rsidRDefault="00851317" w:rsidP="00851317">
            <w:pPr>
              <w:rPr>
                <w:sz w:val="20"/>
                <w:szCs w:val="20"/>
              </w:rPr>
            </w:pPr>
            <w:r>
              <w:rPr>
                <w:sz w:val="20"/>
                <w:szCs w:val="20"/>
              </w:rPr>
              <w:t>Loss of grant (cumulative)</w:t>
            </w:r>
          </w:p>
        </w:tc>
        <w:tc>
          <w:tcPr>
            <w:tcW w:w="1984" w:type="dxa"/>
            <w:tcBorders>
              <w:top w:val="single" w:sz="4" w:space="0" w:color="auto"/>
              <w:left w:val="single" w:sz="4" w:space="0" w:color="auto"/>
              <w:bottom w:val="single" w:sz="4" w:space="0" w:color="auto"/>
              <w:right w:val="single" w:sz="4" w:space="0" w:color="auto"/>
            </w:tcBorders>
          </w:tcPr>
          <w:p w:rsidR="00851317" w:rsidRPr="002B630A" w:rsidRDefault="00851317" w:rsidP="00851317">
            <w:pPr>
              <w:jc w:val="right"/>
              <w:rPr>
                <w:sz w:val="20"/>
                <w:szCs w:val="20"/>
              </w:rPr>
            </w:pPr>
            <w:r w:rsidRPr="00FB7ABB">
              <w:rPr>
                <w:noProof/>
                <w:sz w:val="20"/>
                <w:szCs w:val="20"/>
              </w:rPr>
              <w:t>0.000</w:t>
            </w:r>
          </w:p>
        </w:tc>
        <w:tc>
          <w:tcPr>
            <w:tcW w:w="1843" w:type="dxa"/>
            <w:tcBorders>
              <w:top w:val="single" w:sz="4" w:space="0" w:color="auto"/>
              <w:left w:val="single" w:sz="4" w:space="0" w:color="auto"/>
              <w:bottom w:val="single" w:sz="4" w:space="0" w:color="auto"/>
              <w:right w:val="single" w:sz="4" w:space="0" w:color="auto"/>
            </w:tcBorders>
          </w:tcPr>
          <w:p w:rsidR="00851317" w:rsidRPr="002B630A" w:rsidRDefault="00851317" w:rsidP="00851317">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851317" w:rsidRPr="002B630A" w:rsidRDefault="00851317" w:rsidP="00851317">
            <w:pPr>
              <w:jc w:val="right"/>
              <w:rPr>
                <w:sz w:val="20"/>
                <w:szCs w:val="20"/>
              </w:rPr>
            </w:pPr>
            <w:r w:rsidRPr="00FB7ABB">
              <w:rPr>
                <w:noProof/>
                <w:sz w:val="20"/>
                <w:szCs w:val="20"/>
              </w:rPr>
              <w:t>0.000</w:t>
            </w:r>
          </w:p>
        </w:tc>
      </w:tr>
      <w:tr w:rsidR="00851317" w:rsidRPr="002B630A" w:rsidTr="008252EB">
        <w:tc>
          <w:tcPr>
            <w:tcW w:w="3256" w:type="dxa"/>
            <w:tcBorders>
              <w:bottom w:val="single" w:sz="4" w:space="0" w:color="auto"/>
            </w:tcBorders>
            <w:shd w:val="clear" w:color="auto" w:fill="BFBFBF" w:themeFill="background1" w:themeFillShade="BF"/>
          </w:tcPr>
          <w:p w:rsidR="00851317" w:rsidRPr="00EA1D7C" w:rsidRDefault="00851317" w:rsidP="00851317">
            <w:pPr>
              <w:rPr>
                <w:b/>
                <w:sz w:val="20"/>
                <w:szCs w:val="20"/>
              </w:rPr>
            </w:pPr>
            <w:r>
              <w:rPr>
                <w:b/>
                <w:sz w:val="20"/>
                <w:szCs w:val="20"/>
              </w:rPr>
              <w:t>Revised Resource Requirement</w:t>
            </w:r>
          </w:p>
        </w:tc>
        <w:tc>
          <w:tcPr>
            <w:tcW w:w="1984" w:type="dxa"/>
            <w:tcBorders>
              <w:top w:val="single" w:sz="4" w:space="0" w:color="auto"/>
              <w:bottom w:val="single" w:sz="4" w:space="0" w:color="auto"/>
            </w:tcBorders>
            <w:shd w:val="clear" w:color="auto" w:fill="BFBFBF" w:themeFill="background1" w:themeFillShade="BF"/>
          </w:tcPr>
          <w:p w:rsidR="00851317" w:rsidRPr="00877382" w:rsidRDefault="00851317" w:rsidP="00851317">
            <w:pPr>
              <w:jc w:val="right"/>
              <w:rPr>
                <w:b/>
                <w:sz w:val="20"/>
                <w:szCs w:val="20"/>
              </w:rPr>
            </w:pPr>
            <w:r w:rsidRPr="00FB7ABB">
              <w:rPr>
                <w:b/>
                <w:noProof/>
                <w:sz w:val="20"/>
                <w:szCs w:val="20"/>
              </w:rPr>
              <w:t>1.230</w:t>
            </w:r>
          </w:p>
        </w:tc>
        <w:tc>
          <w:tcPr>
            <w:tcW w:w="1843" w:type="dxa"/>
            <w:tcBorders>
              <w:top w:val="single" w:sz="4" w:space="0" w:color="auto"/>
              <w:bottom w:val="single" w:sz="4" w:space="0" w:color="auto"/>
            </w:tcBorders>
            <w:shd w:val="clear" w:color="auto" w:fill="BFBFBF" w:themeFill="background1" w:themeFillShade="BF"/>
          </w:tcPr>
          <w:p w:rsidR="00851317" w:rsidRPr="00877382" w:rsidRDefault="00851317" w:rsidP="00851317">
            <w:pPr>
              <w:jc w:val="right"/>
              <w:rPr>
                <w:b/>
                <w:sz w:val="20"/>
                <w:szCs w:val="20"/>
              </w:rPr>
            </w:pPr>
            <w:r w:rsidRPr="00FB7ABB">
              <w:rPr>
                <w:b/>
                <w:noProof/>
                <w:sz w:val="20"/>
                <w:szCs w:val="20"/>
              </w:rPr>
              <w:t>1.180</w:t>
            </w:r>
          </w:p>
        </w:tc>
        <w:tc>
          <w:tcPr>
            <w:tcW w:w="2126" w:type="dxa"/>
            <w:tcBorders>
              <w:top w:val="single" w:sz="4" w:space="0" w:color="auto"/>
              <w:bottom w:val="single" w:sz="4" w:space="0" w:color="auto"/>
            </w:tcBorders>
            <w:shd w:val="clear" w:color="auto" w:fill="BFBFBF" w:themeFill="background1" w:themeFillShade="BF"/>
          </w:tcPr>
          <w:p w:rsidR="00851317" w:rsidRPr="00877382" w:rsidRDefault="00851317" w:rsidP="00851317">
            <w:pPr>
              <w:jc w:val="right"/>
              <w:rPr>
                <w:b/>
                <w:sz w:val="20"/>
                <w:szCs w:val="20"/>
              </w:rPr>
            </w:pPr>
            <w:r w:rsidRPr="00FB7ABB">
              <w:rPr>
                <w:b/>
                <w:noProof/>
                <w:sz w:val="20"/>
                <w:szCs w:val="20"/>
              </w:rPr>
              <w:t>1.141</w:t>
            </w:r>
          </w:p>
        </w:tc>
      </w:tr>
      <w:tr w:rsidR="00851317" w:rsidRPr="002B630A" w:rsidTr="008252EB">
        <w:tc>
          <w:tcPr>
            <w:tcW w:w="3256" w:type="dxa"/>
            <w:shd w:val="clear" w:color="auto" w:fill="auto"/>
          </w:tcPr>
          <w:p w:rsidR="00851317" w:rsidRPr="00F26FCF" w:rsidRDefault="00851317" w:rsidP="00851317">
            <w:pPr>
              <w:rPr>
                <w:sz w:val="20"/>
                <w:szCs w:val="20"/>
              </w:rPr>
            </w:pPr>
            <w:r>
              <w:rPr>
                <w:sz w:val="20"/>
                <w:szCs w:val="20"/>
              </w:rPr>
              <w:t>Additional savings target for approval (cumulative)</w:t>
            </w:r>
          </w:p>
        </w:tc>
        <w:tc>
          <w:tcPr>
            <w:tcW w:w="1984" w:type="dxa"/>
            <w:shd w:val="clear" w:color="auto" w:fill="auto"/>
          </w:tcPr>
          <w:p w:rsidR="00851317" w:rsidRPr="002B630A" w:rsidRDefault="00851317" w:rsidP="00851317">
            <w:pPr>
              <w:jc w:val="right"/>
              <w:rPr>
                <w:sz w:val="20"/>
                <w:szCs w:val="20"/>
              </w:rPr>
            </w:pPr>
            <w:r w:rsidRPr="00FB7ABB">
              <w:rPr>
                <w:noProof/>
                <w:sz w:val="20"/>
                <w:szCs w:val="20"/>
              </w:rPr>
              <w:t>0.000</w:t>
            </w:r>
          </w:p>
        </w:tc>
        <w:tc>
          <w:tcPr>
            <w:tcW w:w="1843" w:type="dxa"/>
            <w:shd w:val="clear" w:color="auto" w:fill="auto"/>
          </w:tcPr>
          <w:p w:rsidR="00851317" w:rsidRPr="002B630A" w:rsidRDefault="00851317" w:rsidP="00851317">
            <w:pPr>
              <w:jc w:val="right"/>
              <w:rPr>
                <w:sz w:val="20"/>
                <w:szCs w:val="20"/>
              </w:rPr>
            </w:pPr>
            <w:r w:rsidRPr="00FB7ABB">
              <w:rPr>
                <w:noProof/>
                <w:sz w:val="20"/>
                <w:szCs w:val="20"/>
              </w:rPr>
              <w:t>-1.082</w:t>
            </w:r>
          </w:p>
        </w:tc>
        <w:tc>
          <w:tcPr>
            <w:tcW w:w="2126" w:type="dxa"/>
            <w:shd w:val="clear" w:color="auto" w:fill="auto"/>
          </w:tcPr>
          <w:p w:rsidR="00851317" w:rsidRPr="002B630A" w:rsidRDefault="00851317" w:rsidP="00851317">
            <w:pPr>
              <w:jc w:val="right"/>
              <w:rPr>
                <w:sz w:val="20"/>
                <w:szCs w:val="20"/>
              </w:rPr>
            </w:pPr>
            <w:r w:rsidRPr="00FB7ABB">
              <w:rPr>
                <w:noProof/>
                <w:sz w:val="20"/>
                <w:szCs w:val="20"/>
              </w:rPr>
              <w:t>-1.044</w:t>
            </w:r>
          </w:p>
        </w:tc>
      </w:tr>
      <w:tr w:rsidR="00851317" w:rsidRPr="002B630A" w:rsidTr="001E172B">
        <w:tc>
          <w:tcPr>
            <w:tcW w:w="3256" w:type="dxa"/>
            <w:shd w:val="clear" w:color="auto" w:fill="BFBFBF" w:themeFill="background1" w:themeFillShade="BF"/>
          </w:tcPr>
          <w:p w:rsidR="00851317" w:rsidRPr="00F26FCF" w:rsidRDefault="00851317" w:rsidP="00851317">
            <w:pPr>
              <w:rPr>
                <w:b/>
                <w:sz w:val="20"/>
                <w:szCs w:val="20"/>
              </w:rPr>
            </w:pPr>
            <w:r w:rsidRPr="00F26FCF">
              <w:rPr>
                <w:b/>
                <w:sz w:val="20"/>
                <w:szCs w:val="20"/>
              </w:rPr>
              <w:t>Revised proposed budget</w:t>
            </w:r>
          </w:p>
        </w:tc>
        <w:tc>
          <w:tcPr>
            <w:tcW w:w="1984" w:type="dxa"/>
            <w:shd w:val="clear" w:color="auto" w:fill="BFBFBF" w:themeFill="background1" w:themeFillShade="BF"/>
          </w:tcPr>
          <w:p w:rsidR="00851317" w:rsidRPr="00877382" w:rsidRDefault="00851317" w:rsidP="00851317">
            <w:pPr>
              <w:jc w:val="right"/>
              <w:rPr>
                <w:b/>
                <w:sz w:val="20"/>
                <w:szCs w:val="20"/>
              </w:rPr>
            </w:pPr>
            <w:r w:rsidRPr="00FB7ABB">
              <w:rPr>
                <w:b/>
                <w:noProof/>
                <w:sz w:val="20"/>
                <w:szCs w:val="20"/>
              </w:rPr>
              <w:t>1.230</w:t>
            </w:r>
          </w:p>
        </w:tc>
        <w:tc>
          <w:tcPr>
            <w:tcW w:w="1843" w:type="dxa"/>
            <w:shd w:val="clear" w:color="auto" w:fill="BFBFBF" w:themeFill="background1" w:themeFillShade="BF"/>
          </w:tcPr>
          <w:p w:rsidR="00851317" w:rsidRPr="00877382" w:rsidRDefault="00851317" w:rsidP="00851317">
            <w:pPr>
              <w:jc w:val="right"/>
              <w:rPr>
                <w:b/>
                <w:sz w:val="20"/>
                <w:szCs w:val="20"/>
              </w:rPr>
            </w:pPr>
            <w:r w:rsidRPr="00FB7ABB">
              <w:rPr>
                <w:b/>
                <w:noProof/>
                <w:sz w:val="20"/>
                <w:szCs w:val="20"/>
              </w:rPr>
              <w:t>0.098</w:t>
            </w:r>
          </w:p>
        </w:tc>
        <w:tc>
          <w:tcPr>
            <w:tcW w:w="2126" w:type="dxa"/>
            <w:shd w:val="clear" w:color="auto" w:fill="BFBFBF" w:themeFill="background1" w:themeFillShade="BF"/>
          </w:tcPr>
          <w:p w:rsidR="00851317" w:rsidRPr="00877382" w:rsidRDefault="00851317" w:rsidP="00851317">
            <w:pPr>
              <w:jc w:val="right"/>
              <w:rPr>
                <w:b/>
                <w:sz w:val="20"/>
                <w:szCs w:val="20"/>
              </w:rPr>
            </w:pPr>
            <w:r w:rsidRPr="00FB7ABB">
              <w:rPr>
                <w:b/>
                <w:noProof/>
                <w:sz w:val="20"/>
                <w:szCs w:val="20"/>
              </w:rPr>
              <w:t>0.097</w:t>
            </w:r>
          </w:p>
        </w:tc>
      </w:tr>
      <w:tr w:rsidR="00851317" w:rsidRPr="002B630A" w:rsidTr="008252EB">
        <w:tc>
          <w:tcPr>
            <w:tcW w:w="3256" w:type="dxa"/>
            <w:shd w:val="clear" w:color="auto" w:fill="auto"/>
          </w:tcPr>
          <w:p w:rsidR="00851317" w:rsidRPr="004D588F" w:rsidRDefault="00851317" w:rsidP="00851317">
            <w:pPr>
              <w:rPr>
                <w:sz w:val="20"/>
                <w:szCs w:val="20"/>
              </w:rPr>
            </w:pPr>
            <w:r>
              <w:rPr>
                <w:sz w:val="20"/>
                <w:szCs w:val="20"/>
              </w:rPr>
              <w:t>Proposed r</w:t>
            </w:r>
            <w:r w:rsidRPr="004D588F">
              <w:rPr>
                <w:sz w:val="20"/>
                <w:szCs w:val="20"/>
              </w:rPr>
              <w:t>isk reserve provision</w:t>
            </w:r>
            <w:r>
              <w:rPr>
                <w:sz w:val="20"/>
                <w:szCs w:val="20"/>
              </w:rPr>
              <w:t xml:space="preserve"> (discrete year)</w:t>
            </w:r>
          </w:p>
        </w:tc>
        <w:tc>
          <w:tcPr>
            <w:tcW w:w="1984" w:type="dxa"/>
            <w:shd w:val="clear" w:color="auto" w:fill="auto"/>
          </w:tcPr>
          <w:p w:rsidR="00851317" w:rsidRPr="002B630A" w:rsidRDefault="00851317" w:rsidP="00851317">
            <w:pPr>
              <w:jc w:val="right"/>
              <w:rPr>
                <w:sz w:val="20"/>
                <w:szCs w:val="20"/>
              </w:rPr>
            </w:pPr>
          </w:p>
        </w:tc>
        <w:tc>
          <w:tcPr>
            <w:tcW w:w="1843" w:type="dxa"/>
            <w:shd w:val="clear" w:color="auto" w:fill="auto"/>
          </w:tcPr>
          <w:p w:rsidR="00851317" w:rsidRPr="002B630A" w:rsidRDefault="00851317" w:rsidP="00851317">
            <w:pPr>
              <w:jc w:val="right"/>
              <w:rPr>
                <w:sz w:val="20"/>
                <w:szCs w:val="20"/>
              </w:rPr>
            </w:pPr>
            <w:r w:rsidRPr="00FB7ABB">
              <w:rPr>
                <w:noProof/>
                <w:sz w:val="20"/>
                <w:szCs w:val="20"/>
              </w:rPr>
              <w:t>0.500</w:t>
            </w:r>
          </w:p>
        </w:tc>
        <w:tc>
          <w:tcPr>
            <w:tcW w:w="2126" w:type="dxa"/>
            <w:shd w:val="clear" w:color="auto" w:fill="auto"/>
          </w:tcPr>
          <w:p w:rsidR="00851317" w:rsidRPr="002B630A" w:rsidRDefault="00851317" w:rsidP="00851317">
            <w:pPr>
              <w:jc w:val="right"/>
              <w:rPr>
                <w:sz w:val="20"/>
                <w:szCs w:val="20"/>
              </w:rPr>
            </w:pPr>
            <w:r w:rsidRPr="00FB7ABB">
              <w:rPr>
                <w:noProof/>
                <w:sz w:val="20"/>
                <w:szCs w:val="20"/>
              </w:rPr>
              <w:t>0.000</w:t>
            </w:r>
          </w:p>
        </w:tc>
      </w:tr>
      <w:tr w:rsidR="00452C66" w:rsidRPr="002B630A" w:rsidTr="00C116C8">
        <w:tc>
          <w:tcPr>
            <w:tcW w:w="3256" w:type="dxa"/>
          </w:tcPr>
          <w:p w:rsidR="00452C66" w:rsidRDefault="00452C66" w:rsidP="00452C66">
            <w:pPr>
              <w:rPr>
                <w:sz w:val="20"/>
                <w:szCs w:val="20"/>
              </w:rPr>
            </w:pPr>
            <w:r w:rsidRPr="004D588F">
              <w:rPr>
                <w:sz w:val="20"/>
                <w:szCs w:val="20"/>
              </w:rPr>
              <w:t xml:space="preserve">Policy Decisions needed to deliver the </w:t>
            </w:r>
            <w:r>
              <w:rPr>
                <w:sz w:val="20"/>
                <w:szCs w:val="20"/>
              </w:rPr>
              <w:t>budgeted savings</w:t>
            </w:r>
          </w:p>
          <w:p w:rsidR="00452C66" w:rsidRPr="004D588F" w:rsidRDefault="00452C66" w:rsidP="00452C66">
            <w:pPr>
              <w:rPr>
                <w:sz w:val="20"/>
                <w:szCs w:val="20"/>
              </w:rPr>
            </w:pPr>
          </w:p>
        </w:tc>
        <w:tc>
          <w:tcPr>
            <w:tcW w:w="5953" w:type="dxa"/>
            <w:gridSpan w:val="3"/>
          </w:tcPr>
          <w:p w:rsidR="00D839B0" w:rsidRDefault="00D839B0" w:rsidP="00D839B0">
            <w:pPr>
              <w:rPr>
                <w:sz w:val="20"/>
                <w:szCs w:val="20"/>
              </w:rPr>
            </w:pPr>
            <w:r>
              <w:rPr>
                <w:sz w:val="20"/>
                <w:szCs w:val="20"/>
              </w:rPr>
              <w:t>Approval to consult on the proposed closure of 5 museums across Lancashire</w:t>
            </w:r>
            <w:r w:rsidR="008109CC">
              <w:rPr>
                <w:sz w:val="20"/>
                <w:szCs w:val="20"/>
              </w:rPr>
              <w:t xml:space="preserve"> from 1</w:t>
            </w:r>
            <w:r w:rsidR="008109CC" w:rsidRPr="008109CC">
              <w:rPr>
                <w:sz w:val="20"/>
                <w:szCs w:val="20"/>
                <w:vertAlign w:val="superscript"/>
              </w:rPr>
              <w:t>st</w:t>
            </w:r>
            <w:r w:rsidR="008109CC">
              <w:rPr>
                <w:sz w:val="20"/>
                <w:szCs w:val="20"/>
              </w:rPr>
              <w:t xml:space="preserve"> April 2016</w:t>
            </w:r>
            <w:r>
              <w:rPr>
                <w:sz w:val="20"/>
                <w:szCs w:val="20"/>
              </w:rPr>
              <w:t xml:space="preserve">, and retain 6 </w:t>
            </w:r>
            <w:r w:rsidR="007A6EDF">
              <w:rPr>
                <w:sz w:val="20"/>
                <w:szCs w:val="20"/>
              </w:rPr>
              <w:t>operated on behalf of third parties, subject to those fully covering their costs from fees and charges.</w:t>
            </w:r>
          </w:p>
          <w:p w:rsidR="007A6EDF" w:rsidRDefault="007A6EDF" w:rsidP="00D839B0">
            <w:pPr>
              <w:rPr>
                <w:sz w:val="20"/>
                <w:szCs w:val="20"/>
              </w:rPr>
            </w:pPr>
          </w:p>
          <w:p w:rsidR="007A6EDF" w:rsidRDefault="007A6EDF" w:rsidP="00D839B0">
            <w:pPr>
              <w:rPr>
                <w:sz w:val="20"/>
                <w:szCs w:val="20"/>
              </w:rPr>
            </w:pPr>
            <w:r>
              <w:rPr>
                <w:sz w:val="20"/>
                <w:szCs w:val="20"/>
              </w:rPr>
              <w:t>In the event of the 6 retained Museums being unable to fully cover their costs, including full overhead recovery, these Museums will be handed back to their owners by 31</w:t>
            </w:r>
            <w:r w:rsidRPr="007A6EDF">
              <w:rPr>
                <w:sz w:val="20"/>
                <w:szCs w:val="20"/>
                <w:vertAlign w:val="superscript"/>
              </w:rPr>
              <w:t>st</w:t>
            </w:r>
            <w:r>
              <w:rPr>
                <w:sz w:val="20"/>
                <w:szCs w:val="20"/>
              </w:rPr>
              <w:t xml:space="preserve"> March 201</w:t>
            </w:r>
            <w:r w:rsidR="008109CC">
              <w:rPr>
                <w:sz w:val="20"/>
                <w:szCs w:val="20"/>
              </w:rPr>
              <w:t>7</w:t>
            </w:r>
            <w:r>
              <w:rPr>
                <w:sz w:val="20"/>
                <w:szCs w:val="20"/>
              </w:rPr>
              <w:t>.</w:t>
            </w:r>
          </w:p>
          <w:p w:rsidR="001936AB" w:rsidRDefault="001936AB" w:rsidP="00D839B0">
            <w:pPr>
              <w:rPr>
                <w:sz w:val="20"/>
                <w:szCs w:val="20"/>
              </w:rPr>
            </w:pPr>
          </w:p>
          <w:p w:rsidR="001936AB" w:rsidRDefault="001936AB" w:rsidP="00D839B0">
            <w:pPr>
              <w:rPr>
                <w:sz w:val="20"/>
                <w:szCs w:val="20"/>
              </w:rPr>
            </w:pPr>
            <w:r>
              <w:rPr>
                <w:sz w:val="20"/>
                <w:szCs w:val="20"/>
              </w:rPr>
              <w:t>The only exception would be Gawthorpe Hall where the council is contractually committed to run the service.  The intention would be for Gawthorpe Hall, as far as practicable, to cover its costs from fees and charges.</w:t>
            </w:r>
          </w:p>
          <w:p w:rsidR="006E2B20" w:rsidRDefault="006E2B20" w:rsidP="00D839B0">
            <w:pPr>
              <w:rPr>
                <w:sz w:val="20"/>
                <w:szCs w:val="20"/>
              </w:rPr>
            </w:pPr>
          </w:p>
          <w:p w:rsidR="006E2B20" w:rsidRPr="00F15B60" w:rsidRDefault="006E2B20" w:rsidP="00D839B0">
            <w:pPr>
              <w:rPr>
                <w:sz w:val="20"/>
                <w:szCs w:val="20"/>
              </w:rPr>
            </w:pPr>
            <w:r>
              <w:rPr>
                <w:sz w:val="20"/>
                <w:szCs w:val="20"/>
              </w:rPr>
              <w:t xml:space="preserve">To make </w:t>
            </w:r>
            <w:r w:rsidR="00AA1B0A">
              <w:rPr>
                <w:sz w:val="20"/>
                <w:szCs w:val="20"/>
              </w:rPr>
              <w:t xml:space="preserve">£500,000 provision within the reserves to cover part year costs pending the consultation and time required to implement the closure programme. </w:t>
            </w:r>
          </w:p>
          <w:p w:rsidR="00452C66" w:rsidRPr="00F15B60" w:rsidRDefault="00452C66" w:rsidP="00412645">
            <w:pPr>
              <w:rPr>
                <w:sz w:val="20"/>
                <w:szCs w:val="20"/>
              </w:rPr>
            </w:pPr>
          </w:p>
        </w:tc>
      </w:tr>
      <w:tr w:rsidR="00452C66" w:rsidRPr="002B630A" w:rsidTr="00C116C8">
        <w:tc>
          <w:tcPr>
            <w:tcW w:w="3256" w:type="dxa"/>
          </w:tcPr>
          <w:p w:rsidR="00452C66" w:rsidRDefault="00452C66" w:rsidP="00452C66">
            <w:pPr>
              <w:rPr>
                <w:sz w:val="20"/>
                <w:szCs w:val="20"/>
              </w:rPr>
            </w:pPr>
            <w:r w:rsidRPr="002B630A">
              <w:rPr>
                <w:sz w:val="20"/>
                <w:szCs w:val="20"/>
              </w:rPr>
              <w:t xml:space="preserve">Impact upon service </w:t>
            </w:r>
          </w:p>
          <w:p w:rsidR="008039DA" w:rsidRDefault="008039DA" w:rsidP="00452C66">
            <w:pPr>
              <w:rPr>
                <w:sz w:val="20"/>
                <w:szCs w:val="20"/>
              </w:rPr>
            </w:pPr>
          </w:p>
          <w:p w:rsidR="008039DA" w:rsidRDefault="008039DA" w:rsidP="00452C66">
            <w:pPr>
              <w:rPr>
                <w:sz w:val="20"/>
                <w:szCs w:val="20"/>
              </w:rPr>
            </w:pPr>
          </w:p>
          <w:p w:rsidR="008039DA" w:rsidRPr="002B630A" w:rsidRDefault="008039DA" w:rsidP="00452C66">
            <w:pPr>
              <w:rPr>
                <w:sz w:val="20"/>
                <w:szCs w:val="20"/>
              </w:rPr>
            </w:pPr>
          </w:p>
        </w:tc>
        <w:tc>
          <w:tcPr>
            <w:tcW w:w="5953" w:type="dxa"/>
            <w:gridSpan w:val="3"/>
          </w:tcPr>
          <w:p w:rsidR="00452C66" w:rsidRPr="00412645" w:rsidRDefault="00412645" w:rsidP="00B16895">
            <w:pPr>
              <w:rPr>
                <w:sz w:val="20"/>
                <w:szCs w:val="20"/>
              </w:rPr>
            </w:pPr>
            <w:r w:rsidRPr="00412645">
              <w:rPr>
                <w:sz w:val="20"/>
                <w:szCs w:val="20"/>
              </w:rPr>
              <w:t xml:space="preserve">The following 5 museum sites </w:t>
            </w:r>
            <w:r w:rsidR="00D839B0">
              <w:rPr>
                <w:sz w:val="20"/>
                <w:szCs w:val="20"/>
              </w:rPr>
              <w:t xml:space="preserve">are proposed to </w:t>
            </w:r>
            <w:r w:rsidRPr="00412645">
              <w:rPr>
                <w:sz w:val="20"/>
                <w:szCs w:val="20"/>
              </w:rPr>
              <w:t>close</w:t>
            </w:r>
            <w:r w:rsidR="00D839B0">
              <w:rPr>
                <w:sz w:val="20"/>
                <w:szCs w:val="20"/>
              </w:rPr>
              <w:t xml:space="preserve">: </w:t>
            </w:r>
            <w:r w:rsidRPr="00412645">
              <w:rPr>
                <w:sz w:val="20"/>
                <w:szCs w:val="20"/>
              </w:rPr>
              <w:t xml:space="preserve"> </w:t>
            </w:r>
          </w:p>
          <w:p w:rsidR="00412645" w:rsidRPr="00B14EC1" w:rsidRDefault="00412645" w:rsidP="00B14EC1">
            <w:pPr>
              <w:pStyle w:val="ListParagraph"/>
              <w:numPr>
                <w:ilvl w:val="0"/>
                <w:numId w:val="3"/>
              </w:numPr>
              <w:rPr>
                <w:sz w:val="20"/>
                <w:szCs w:val="20"/>
              </w:rPr>
            </w:pPr>
            <w:r w:rsidRPr="00B14EC1">
              <w:rPr>
                <w:sz w:val="20"/>
                <w:szCs w:val="20"/>
              </w:rPr>
              <w:t>Queen Street Mill</w:t>
            </w:r>
            <w:r w:rsidR="00D839B0">
              <w:rPr>
                <w:sz w:val="20"/>
                <w:szCs w:val="20"/>
              </w:rPr>
              <w:t xml:space="preserve"> </w:t>
            </w:r>
          </w:p>
          <w:p w:rsidR="00412645" w:rsidRPr="00B14EC1" w:rsidRDefault="00412645" w:rsidP="00B14EC1">
            <w:pPr>
              <w:pStyle w:val="ListParagraph"/>
              <w:numPr>
                <w:ilvl w:val="0"/>
                <w:numId w:val="3"/>
              </w:numPr>
              <w:rPr>
                <w:sz w:val="20"/>
                <w:szCs w:val="20"/>
              </w:rPr>
            </w:pPr>
            <w:r w:rsidRPr="00B14EC1">
              <w:rPr>
                <w:sz w:val="20"/>
                <w:szCs w:val="20"/>
              </w:rPr>
              <w:t>Helmshore</w:t>
            </w:r>
          </w:p>
          <w:p w:rsidR="00412645" w:rsidRPr="00B14EC1" w:rsidRDefault="00412645" w:rsidP="00B14EC1">
            <w:pPr>
              <w:pStyle w:val="ListParagraph"/>
              <w:numPr>
                <w:ilvl w:val="0"/>
                <w:numId w:val="3"/>
              </w:numPr>
              <w:rPr>
                <w:sz w:val="20"/>
                <w:szCs w:val="20"/>
              </w:rPr>
            </w:pPr>
            <w:r w:rsidRPr="00B14EC1">
              <w:rPr>
                <w:sz w:val="20"/>
                <w:szCs w:val="20"/>
              </w:rPr>
              <w:t>M</w:t>
            </w:r>
            <w:r w:rsidR="00B14EC1" w:rsidRPr="00B14EC1">
              <w:rPr>
                <w:sz w:val="20"/>
                <w:szCs w:val="20"/>
              </w:rPr>
              <w:t xml:space="preserve">useum </w:t>
            </w:r>
            <w:r w:rsidRPr="00B14EC1">
              <w:rPr>
                <w:sz w:val="20"/>
                <w:szCs w:val="20"/>
              </w:rPr>
              <w:t>o</w:t>
            </w:r>
            <w:r w:rsidR="00B14EC1" w:rsidRPr="00B14EC1">
              <w:rPr>
                <w:sz w:val="20"/>
                <w:szCs w:val="20"/>
              </w:rPr>
              <w:t xml:space="preserve">f </w:t>
            </w:r>
            <w:r w:rsidRPr="00B14EC1">
              <w:rPr>
                <w:sz w:val="20"/>
                <w:szCs w:val="20"/>
              </w:rPr>
              <w:t>L</w:t>
            </w:r>
            <w:r w:rsidR="00B14EC1" w:rsidRPr="00B14EC1">
              <w:rPr>
                <w:sz w:val="20"/>
                <w:szCs w:val="20"/>
              </w:rPr>
              <w:t>ancashire</w:t>
            </w:r>
            <w:r w:rsidR="00D839B0">
              <w:rPr>
                <w:sz w:val="20"/>
                <w:szCs w:val="20"/>
              </w:rPr>
              <w:t xml:space="preserve"> </w:t>
            </w:r>
          </w:p>
          <w:p w:rsidR="00412645" w:rsidRPr="00B14EC1" w:rsidRDefault="00412645" w:rsidP="00B14EC1">
            <w:pPr>
              <w:pStyle w:val="ListParagraph"/>
              <w:numPr>
                <w:ilvl w:val="0"/>
                <w:numId w:val="3"/>
              </w:numPr>
              <w:rPr>
                <w:sz w:val="20"/>
                <w:szCs w:val="20"/>
              </w:rPr>
            </w:pPr>
            <w:r w:rsidRPr="00B14EC1">
              <w:rPr>
                <w:sz w:val="20"/>
                <w:szCs w:val="20"/>
              </w:rPr>
              <w:t>Judges Lodgings</w:t>
            </w:r>
            <w:r w:rsidR="00D839B0">
              <w:rPr>
                <w:sz w:val="20"/>
                <w:szCs w:val="20"/>
              </w:rPr>
              <w:t xml:space="preserve"> </w:t>
            </w:r>
          </w:p>
          <w:p w:rsidR="00412645" w:rsidRPr="00B14EC1" w:rsidRDefault="00412645" w:rsidP="00B14EC1">
            <w:pPr>
              <w:pStyle w:val="ListParagraph"/>
              <w:numPr>
                <w:ilvl w:val="0"/>
                <w:numId w:val="3"/>
              </w:numPr>
              <w:rPr>
                <w:sz w:val="20"/>
                <w:szCs w:val="20"/>
              </w:rPr>
            </w:pPr>
            <w:r w:rsidRPr="00B14EC1">
              <w:rPr>
                <w:sz w:val="20"/>
                <w:szCs w:val="20"/>
              </w:rPr>
              <w:t>Fleetwood</w:t>
            </w:r>
            <w:r w:rsidR="00D839B0">
              <w:rPr>
                <w:sz w:val="20"/>
                <w:szCs w:val="20"/>
              </w:rPr>
              <w:t xml:space="preserve"> </w:t>
            </w:r>
          </w:p>
          <w:p w:rsidR="00412645" w:rsidRDefault="00412645" w:rsidP="00B16895">
            <w:pPr>
              <w:rPr>
                <w:sz w:val="20"/>
                <w:szCs w:val="20"/>
              </w:rPr>
            </w:pPr>
          </w:p>
          <w:p w:rsidR="00B14EC1" w:rsidRDefault="00B14EC1" w:rsidP="00B16895">
            <w:pPr>
              <w:rPr>
                <w:sz w:val="20"/>
                <w:szCs w:val="20"/>
              </w:rPr>
            </w:pPr>
            <w:r w:rsidRPr="00C45579">
              <w:rPr>
                <w:sz w:val="20"/>
                <w:szCs w:val="20"/>
              </w:rPr>
              <w:t xml:space="preserve">The remaining </w:t>
            </w:r>
            <w:r w:rsidR="00480F85" w:rsidRPr="00C45579">
              <w:rPr>
                <w:sz w:val="20"/>
                <w:szCs w:val="20"/>
              </w:rPr>
              <w:t xml:space="preserve">sites </w:t>
            </w:r>
            <w:r w:rsidR="00D839B0">
              <w:rPr>
                <w:sz w:val="20"/>
                <w:szCs w:val="20"/>
              </w:rPr>
              <w:t xml:space="preserve">are proposed to remain open.  The proposal is to review entry charges and </w:t>
            </w:r>
            <w:r w:rsidR="00480F85" w:rsidRPr="00C45579">
              <w:rPr>
                <w:sz w:val="20"/>
                <w:szCs w:val="20"/>
              </w:rPr>
              <w:t xml:space="preserve">maximise income </w:t>
            </w:r>
            <w:r w:rsidR="00D839B0">
              <w:rPr>
                <w:sz w:val="20"/>
                <w:szCs w:val="20"/>
              </w:rPr>
              <w:t xml:space="preserve">to ensure full cost recovery: </w:t>
            </w:r>
          </w:p>
          <w:p w:rsidR="007A6EDF" w:rsidRDefault="00480F85" w:rsidP="0040201C">
            <w:pPr>
              <w:pStyle w:val="ListParagraph"/>
              <w:numPr>
                <w:ilvl w:val="0"/>
                <w:numId w:val="5"/>
              </w:numPr>
              <w:spacing w:line="276" w:lineRule="auto"/>
              <w:rPr>
                <w:sz w:val="20"/>
                <w:szCs w:val="20"/>
              </w:rPr>
            </w:pPr>
            <w:r w:rsidRPr="00D839B0">
              <w:rPr>
                <w:b/>
                <w:sz w:val="20"/>
                <w:szCs w:val="20"/>
              </w:rPr>
              <w:t>Clitheroe Castle</w:t>
            </w:r>
            <w:r w:rsidRPr="00D839B0">
              <w:rPr>
                <w:sz w:val="20"/>
                <w:szCs w:val="20"/>
              </w:rPr>
              <w:t xml:space="preserve"> </w:t>
            </w:r>
            <w:r w:rsidR="009A51F4" w:rsidRPr="00D839B0">
              <w:rPr>
                <w:sz w:val="20"/>
                <w:szCs w:val="20"/>
              </w:rPr>
              <w:t>- Owned by Ribble Valley Borough Council and operated by the County Council under a legal agreement.</w:t>
            </w:r>
          </w:p>
          <w:p w:rsidR="00480F85" w:rsidRPr="00D839B0" w:rsidRDefault="00480F85" w:rsidP="0040201C">
            <w:pPr>
              <w:pStyle w:val="ListParagraph"/>
              <w:numPr>
                <w:ilvl w:val="0"/>
                <w:numId w:val="5"/>
              </w:numPr>
              <w:spacing w:line="276" w:lineRule="auto"/>
              <w:rPr>
                <w:sz w:val="20"/>
                <w:szCs w:val="20"/>
              </w:rPr>
            </w:pPr>
            <w:r w:rsidRPr="00D839B0">
              <w:rPr>
                <w:b/>
                <w:sz w:val="20"/>
                <w:szCs w:val="20"/>
              </w:rPr>
              <w:t>Gawthorpe Hall</w:t>
            </w:r>
            <w:r w:rsidR="009A51F4" w:rsidRPr="00D839B0">
              <w:rPr>
                <w:sz w:val="20"/>
                <w:szCs w:val="20"/>
              </w:rPr>
              <w:t xml:space="preserve"> - On a 99 year repair and maintenance lease from the National Trust to the County Council ending in 2072.  </w:t>
            </w:r>
          </w:p>
          <w:p w:rsidR="00480F85" w:rsidRPr="000C2BC8" w:rsidRDefault="00480F85" w:rsidP="00480F85">
            <w:pPr>
              <w:pStyle w:val="ListParagraph"/>
              <w:numPr>
                <w:ilvl w:val="0"/>
                <w:numId w:val="5"/>
              </w:numPr>
              <w:rPr>
                <w:sz w:val="20"/>
                <w:szCs w:val="20"/>
              </w:rPr>
            </w:pPr>
            <w:r w:rsidRPr="000C2BC8">
              <w:rPr>
                <w:b/>
                <w:sz w:val="20"/>
                <w:szCs w:val="20"/>
              </w:rPr>
              <w:lastRenderedPageBreak/>
              <w:t>Lancaster Castle</w:t>
            </w:r>
            <w:r w:rsidR="00E87BBD" w:rsidRPr="000C2BC8">
              <w:rPr>
                <w:sz w:val="20"/>
                <w:szCs w:val="20"/>
              </w:rPr>
              <w:t xml:space="preserve"> - owned by the Duchy of Lancaster.  The County Council pays an annual lease to the Duchy.  </w:t>
            </w:r>
          </w:p>
          <w:p w:rsidR="00480F85" w:rsidRPr="000C2BC8" w:rsidRDefault="00E87BBD" w:rsidP="00480F85">
            <w:pPr>
              <w:pStyle w:val="ListParagraph"/>
              <w:numPr>
                <w:ilvl w:val="0"/>
                <w:numId w:val="5"/>
              </w:numPr>
              <w:rPr>
                <w:sz w:val="20"/>
                <w:szCs w:val="20"/>
              </w:rPr>
            </w:pPr>
            <w:r w:rsidRPr="000C2BC8">
              <w:rPr>
                <w:b/>
                <w:sz w:val="20"/>
                <w:szCs w:val="20"/>
              </w:rPr>
              <w:t>Lancaster City Museum</w:t>
            </w:r>
            <w:r w:rsidRPr="000C2BC8">
              <w:rPr>
                <w:sz w:val="20"/>
                <w:szCs w:val="20"/>
              </w:rPr>
              <w:t xml:space="preserve"> - </w:t>
            </w:r>
            <w:r w:rsidR="00663745" w:rsidRPr="000C2BC8">
              <w:rPr>
                <w:sz w:val="20"/>
                <w:szCs w:val="20"/>
              </w:rPr>
              <w:t xml:space="preserve">operated on behalf of Lancaster City Council  </w:t>
            </w:r>
          </w:p>
          <w:p w:rsidR="00480F85" w:rsidRPr="000C2BC8" w:rsidRDefault="00480F85" w:rsidP="00480F85">
            <w:pPr>
              <w:pStyle w:val="ListParagraph"/>
              <w:numPr>
                <w:ilvl w:val="0"/>
                <w:numId w:val="5"/>
              </w:numPr>
              <w:rPr>
                <w:sz w:val="20"/>
                <w:szCs w:val="20"/>
              </w:rPr>
            </w:pPr>
            <w:r w:rsidRPr="000C2BC8">
              <w:rPr>
                <w:b/>
                <w:sz w:val="20"/>
                <w:szCs w:val="20"/>
              </w:rPr>
              <w:t>Lancaster Maritime Museum</w:t>
            </w:r>
            <w:r w:rsidR="00663745" w:rsidRPr="000C2BC8">
              <w:rPr>
                <w:sz w:val="20"/>
                <w:szCs w:val="20"/>
              </w:rPr>
              <w:t xml:space="preserve"> - operated on behalf of Lancaster City Council   </w:t>
            </w:r>
          </w:p>
          <w:p w:rsidR="00D839B0" w:rsidRPr="002B1B89" w:rsidRDefault="00663745" w:rsidP="00A2345B">
            <w:pPr>
              <w:pStyle w:val="ListParagraph"/>
              <w:numPr>
                <w:ilvl w:val="0"/>
                <w:numId w:val="5"/>
              </w:numPr>
              <w:rPr>
                <w:sz w:val="20"/>
                <w:szCs w:val="20"/>
              </w:rPr>
            </w:pPr>
            <w:r w:rsidRPr="000C2BC8">
              <w:rPr>
                <w:b/>
                <w:sz w:val="20"/>
                <w:szCs w:val="20"/>
              </w:rPr>
              <w:t>Lancaster</w:t>
            </w:r>
            <w:r w:rsidR="00480F85" w:rsidRPr="000C2BC8">
              <w:rPr>
                <w:b/>
                <w:sz w:val="20"/>
                <w:szCs w:val="20"/>
              </w:rPr>
              <w:t xml:space="preserve"> Cottage Museum</w:t>
            </w:r>
            <w:r w:rsidRPr="000C2BC8">
              <w:rPr>
                <w:sz w:val="20"/>
                <w:szCs w:val="20"/>
              </w:rPr>
              <w:t xml:space="preserve"> - operated on behalf of Lancaster City Council  </w:t>
            </w:r>
            <w:r w:rsidR="00D839B0">
              <w:rPr>
                <w:sz w:val="20"/>
                <w:szCs w:val="20"/>
              </w:rPr>
              <w:br/>
            </w:r>
          </w:p>
        </w:tc>
      </w:tr>
      <w:tr w:rsidR="00452C66" w:rsidRPr="002B630A" w:rsidTr="00C116C8">
        <w:tc>
          <w:tcPr>
            <w:tcW w:w="3256" w:type="dxa"/>
          </w:tcPr>
          <w:p w:rsidR="00452C66" w:rsidRPr="002B630A" w:rsidRDefault="00452C66" w:rsidP="00452C66">
            <w:pPr>
              <w:rPr>
                <w:sz w:val="20"/>
                <w:szCs w:val="20"/>
              </w:rPr>
            </w:pPr>
            <w:r w:rsidRPr="00F15B60">
              <w:rPr>
                <w:sz w:val="20"/>
                <w:szCs w:val="20"/>
              </w:rPr>
              <w:lastRenderedPageBreak/>
              <w:t>Actions needed to deliver the target savings</w:t>
            </w:r>
          </w:p>
        </w:tc>
        <w:tc>
          <w:tcPr>
            <w:tcW w:w="5953" w:type="dxa"/>
            <w:gridSpan w:val="3"/>
          </w:tcPr>
          <w:p w:rsidR="00D839B0" w:rsidRPr="000F2F86" w:rsidRDefault="00D839B0" w:rsidP="00D839B0">
            <w:pPr>
              <w:rPr>
                <w:sz w:val="20"/>
                <w:szCs w:val="20"/>
              </w:rPr>
            </w:pPr>
            <w:r>
              <w:rPr>
                <w:sz w:val="20"/>
                <w:szCs w:val="20"/>
              </w:rPr>
              <w:t>Appropriate c</w:t>
            </w:r>
            <w:r w:rsidRPr="000F2F86">
              <w:rPr>
                <w:sz w:val="20"/>
                <w:szCs w:val="20"/>
              </w:rPr>
              <w:t xml:space="preserve">onsultation with the public and other stake holders </w:t>
            </w:r>
            <w:r>
              <w:rPr>
                <w:sz w:val="20"/>
                <w:szCs w:val="20"/>
              </w:rPr>
              <w:t xml:space="preserve">is </w:t>
            </w:r>
            <w:r w:rsidRPr="000F2F86">
              <w:rPr>
                <w:sz w:val="20"/>
                <w:szCs w:val="20"/>
              </w:rPr>
              <w:t>required</w:t>
            </w:r>
            <w:r>
              <w:rPr>
                <w:sz w:val="20"/>
                <w:szCs w:val="20"/>
              </w:rPr>
              <w:t xml:space="preserve">.  As part of that consultation process consideration will be given to </w:t>
            </w:r>
            <w:r w:rsidRPr="000F2F86">
              <w:rPr>
                <w:sz w:val="20"/>
                <w:szCs w:val="20"/>
              </w:rPr>
              <w:t>alternative</w:t>
            </w:r>
            <w:r>
              <w:rPr>
                <w:sz w:val="20"/>
                <w:szCs w:val="20"/>
              </w:rPr>
              <w:t xml:space="preserve"> service delivery models</w:t>
            </w:r>
            <w:r w:rsidRPr="000F2F86">
              <w:rPr>
                <w:sz w:val="20"/>
                <w:szCs w:val="20"/>
              </w:rPr>
              <w:t xml:space="preserve"> </w:t>
            </w:r>
            <w:r w:rsidR="00A2345B">
              <w:rPr>
                <w:sz w:val="20"/>
                <w:szCs w:val="20"/>
              </w:rPr>
              <w:t>including their operation by local communities and interest groups, subject to no future cost liabilities falling upon the county council</w:t>
            </w:r>
            <w:r w:rsidRPr="000F2F86">
              <w:rPr>
                <w:sz w:val="20"/>
                <w:szCs w:val="20"/>
              </w:rPr>
              <w:t>.</w:t>
            </w:r>
            <w:r>
              <w:rPr>
                <w:sz w:val="20"/>
                <w:szCs w:val="20"/>
              </w:rPr>
              <w:br/>
            </w:r>
          </w:p>
          <w:p w:rsidR="008109CC" w:rsidRDefault="00D839B0" w:rsidP="003A070F">
            <w:pPr>
              <w:rPr>
                <w:sz w:val="20"/>
                <w:szCs w:val="20"/>
              </w:rPr>
            </w:pPr>
            <w:r>
              <w:rPr>
                <w:sz w:val="20"/>
                <w:szCs w:val="20"/>
              </w:rPr>
              <w:t xml:space="preserve">The </w:t>
            </w:r>
            <w:r w:rsidR="003A070F" w:rsidRPr="006F34B5">
              <w:rPr>
                <w:sz w:val="20"/>
                <w:szCs w:val="20"/>
              </w:rPr>
              <w:t>cha</w:t>
            </w:r>
            <w:r w:rsidR="00B8569B">
              <w:rPr>
                <w:sz w:val="20"/>
                <w:szCs w:val="20"/>
              </w:rPr>
              <w:t>rging policy</w:t>
            </w:r>
            <w:r>
              <w:rPr>
                <w:sz w:val="20"/>
                <w:szCs w:val="20"/>
              </w:rPr>
              <w:t xml:space="preserve"> for entry</w:t>
            </w:r>
            <w:r w:rsidR="00A2345B">
              <w:rPr>
                <w:sz w:val="20"/>
                <w:szCs w:val="20"/>
              </w:rPr>
              <w:t xml:space="preserve"> for retained Museums</w:t>
            </w:r>
            <w:r>
              <w:rPr>
                <w:sz w:val="20"/>
                <w:szCs w:val="20"/>
              </w:rPr>
              <w:t xml:space="preserve"> will be reviewed </w:t>
            </w:r>
            <w:r w:rsidR="00A2345B">
              <w:rPr>
                <w:sz w:val="20"/>
                <w:szCs w:val="20"/>
              </w:rPr>
              <w:t>by 31</w:t>
            </w:r>
            <w:r w:rsidR="00A2345B" w:rsidRPr="00A2345B">
              <w:rPr>
                <w:sz w:val="20"/>
                <w:szCs w:val="20"/>
                <w:vertAlign w:val="superscript"/>
              </w:rPr>
              <w:t>st</w:t>
            </w:r>
            <w:r w:rsidR="00A2345B">
              <w:rPr>
                <w:sz w:val="20"/>
                <w:szCs w:val="20"/>
              </w:rPr>
              <w:t xml:space="preserve"> December 2015, for implementation from 1</w:t>
            </w:r>
            <w:r w:rsidR="00A2345B" w:rsidRPr="00A2345B">
              <w:rPr>
                <w:sz w:val="20"/>
                <w:szCs w:val="20"/>
                <w:vertAlign w:val="superscript"/>
              </w:rPr>
              <w:t>st</w:t>
            </w:r>
            <w:r w:rsidR="00A2345B">
              <w:rPr>
                <w:sz w:val="20"/>
                <w:szCs w:val="20"/>
              </w:rPr>
              <w:t xml:space="preserve"> April 2016.</w:t>
            </w:r>
          </w:p>
          <w:p w:rsidR="008109CC" w:rsidRDefault="008109CC" w:rsidP="003A070F">
            <w:pPr>
              <w:rPr>
                <w:sz w:val="20"/>
                <w:szCs w:val="20"/>
              </w:rPr>
            </w:pPr>
          </w:p>
          <w:p w:rsidR="008109CC" w:rsidRDefault="008109CC" w:rsidP="003A070F">
            <w:pPr>
              <w:rPr>
                <w:sz w:val="20"/>
                <w:szCs w:val="20"/>
              </w:rPr>
            </w:pPr>
            <w:r>
              <w:rPr>
                <w:sz w:val="20"/>
                <w:szCs w:val="20"/>
              </w:rPr>
              <w:t>Development of an exit plan for Museum closure by 31</w:t>
            </w:r>
            <w:r w:rsidRPr="008109CC">
              <w:rPr>
                <w:sz w:val="20"/>
                <w:szCs w:val="20"/>
                <w:vertAlign w:val="superscript"/>
              </w:rPr>
              <w:t>st</w:t>
            </w:r>
            <w:r>
              <w:rPr>
                <w:sz w:val="20"/>
                <w:szCs w:val="20"/>
              </w:rPr>
              <w:t xml:space="preserve"> March 2016. </w:t>
            </w:r>
          </w:p>
          <w:p w:rsidR="006E2B20" w:rsidRDefault="006E2B20" w:rsidP="003A070F">
            <w:pPr>
              <w:rPr>
                <w:sz w:val="20"/>
                <w:szCs w:val="20"/>
              </w:rPr>
            </w:pPr>
          </w:p>
          <w:p w:rsidR="008109CC" w:rsidRDefault="006E2B20" w:rsidP="003A070F">
            <w:pPr>
              <w:rPr>
                <w:sz w:val="20"/>
                <w:szCs w:val="20"/>
              </w:rPr>
            </w:pPr>
            <w:r>
              <w:rPr>
                <w:sz w:val="20"/>
                <w:szCs w:val="20"/>
              </w:rPr>
              <w:t xml:space="preserve">Consult </w:t>
            </w:r>
            <w:r w:rsidR="00D02E6E">
              <w:rPr>
                <w:sz w:val="20"/>
                <w:szCs w:val="20"/>
              </w:rPr>
              <w:t xml:space="preserve">staff </w:t>
            </w:r>
            <w:r>
              <w:rPr>
                <w:sz w:val="20"/>
                <w:szCs w:val="20"/>
              </w:rPr>
              <w:t xml:space="preserve">on the </w:t>
            </w:r>
            <w:r w:rsidR="00D02E6E">
              <w:rPr>
                <w:sz w:val="20"/>
                <w:szCs w:val="20"/>
              </w:rPr>
              <w:t>proposals/</w:t>
            </w:r>
            <w:r>
              <w:rPr>
                <w:sz w:val="20"/>
                <w:szCs w:val="20"/>
              </w:rPr>
              <w:t>staffing structure by 31</w:t>
            </w:r>
            <w:r w:rsidRPr="006E2B20">
              <w:rPr>
                <w:sz w:val="20"/>
                <w:szCs w:val="20"/>
                <w:vertAlign w:val="superscript"/>
              </w:rPr>
              <w:t>st</w:t>
            </w:r>
            <w:r>
              <w:rPr>
                <w:sz w:val="20"/>
                <w:szCs w:val="20"/>
              </w:rPr>
              <w:t xml:space="preserve"> December 2015, for implementation as soon as practicable in 2016.</w:t>
            </w:r>
          </w:p>
          <w:p w:rsidR="00B14EC1" w:rsidRDefault="00B14EC1" w:rsidP="006E2B20">
            <w:pPr>
              <w:rPr>
                <w:sz w:val="20"/>
                <w:szCs w:val="20"/>
              </w:rPr>
            </w:pPr>
          </w:p>
          <w:p w:rsidR="00D02E6E" w:rsidRDefault="00D02E6E" w:rsidP="00D02E6E">
            <w:pPr>
              <w:rPr>
                <w:sz w:val="20"/>
                <w:szCs w:val="20"/>
              </w:rPr>
            </w:pPr>
            <w:r>
              <w:rPr>
                <w:sz w:val="20"/>
                <w:szCs w:val="20"/>
              </w:rPr>
              <w:t>Statutory consultation process with Trades Unions with respect to potential for redundancies, January 2016.</w:t>
            </w:r>
          </w:p>
          <w:p w:rsidR="00D02E6E" w:rsidRPr="002B1B89" w:rsidRDefault="00D02E6E" w:rsidP="006E2B20">
            <w:pPr>
              <w:rPr>
                <w:sz w:val="20"/>
                <w:szCs w:val="20"/>
              </w:rPr>
            </w:pPr>
          </w:p>
        </w:tc>
      </w:tr>
      <w:tr w:rsidR="008039DA" w:rsidRPr="002B630A" w:rsidTr="00C116C8">
        <w:tc>
          <w:tcPr>
            <w:tcW w:w="3256" w:type="dxa"/>
          </w:tcPr>
          <w:p w:rsidR="008039DA" w:rsidRPr="00F15B60" w:rsidRDefault="008039DA" w:rsidP="00452C66">
            <w:pPr>
              <w:rPr>
                <w:sz w:val="20"/>
                <w:szCs w:val="20"/>
              </w:rPr>
            </w:pPr>
            <w:r>
              <w:rPr>
                <w:sz w:val="20"/>
                <w:szCs w:val="20"/>
              </w:rPr>
              <w:t>Equality Analysis</w:t>
            </w:r>
          </w:p>
        </w:tc>
        <w:tc>
          <w:tcPr>
            <w:tcW w:w="5953" w:type="dxa"/>
            <w:gridSpan w:val="3"/>
          </w:tcPr>
          <w:p w:rsidR="008039DA" w:rsidRDefault="00661C31" w:rsidP="000F631A">
            <w:pPr>
              <w:rPr>
                <w:sz w:val="20"/>
                <w:szCs w:val="20"/>
              </w:rPr>
            </w:pPr>
            <w:hyperlink r:id="rId6" w:history="1">
              <w:r>
                <w:rPr>
                  <w:rStyle w:val="Hyperlink"/>
                  <w:sz w:val="20"/>
                  <w:szCs w:val="20"/>
                </w:rPr>
                <w:t>Click here to view document</w:t>
              </w:r>
            </w:hyperlink>
          </w:p>
          <w:p w:rsidR="00661C31" w:rsidRPr="008039DA" w:rsidRDefault="00661C31" w:rsidP="000F631A">
            <w:pPr>
              <w:rPr>
                <w:sz w:val="20"/>
                <w:szCs w:val="20"/>
              </w:rPr>
            </w:pPr>
            <w:bookmarkStart w:id="0" w:name="_GoBack"/>
            <w:bookmarkEnd w:id="0"/>
          </w:p>
        </w:tc>
      </w:tr>
    </w:tbl>
    <w:p w:rsidR="00E81309" w:rsidRDefault="00E81309" w:rsidP="009A03DB">
      <w:pPr>
        <w:rPr>
          <w:b/>
          <w:sz w:val="24"/>
          <w:szCs w:val="24"/>
        </w:rPr>
      </w:pPr>
    </w:p>
    <w:p w:rsidR="003A070F" w:rsidRPr="00531A15" w:rsidRDefault="003A070F" w:rsidP="003A070F">
      <w:pPr>
        <w:spacing w:line="256" w:lineRule="auto"/>
        <w:rPr>
          <w:b/>
          <w:sz w:val="20"/>
          <w:szCs w:val="20"/>
        </w:rPr>
      </w:pPr>
      <w:r w:rsidRPr="00531A15">
        <w:rPr>
          <w:b/>
          <w:sz w:val="20"/>
          <w:szCs w:val="20"/>
        </w:rPr>
        <w:t>What does this service deliver?</w:t>
      </w:r>
    </w:p>
    <w:p w:rsidR="00F11CAF" w:rsidRPr="00531A15" w:rsidRDefault="003A070F" w:rsidP="00132701">
      <w:pPr>
        <w:spacing w:after="0" w:line="240" w:lineRule="auto"/>
        <w:rPr>
          <w:rFonts w:ascii="Calibri" w:hAnsi="Calibri"/>
          <w:sz w:val="20"/>
          <w:szCs w:val="20"/>
        </w:rPr>
      </w:pPr>
      <w:r w:rsidRPr="00531A15">
        <w:rPr>
          <w:rFonts w:ascii="Calibri" w:hAnsi="Calibri"/>
          <w:b/>
          <w:sz w:val="20"/>
          <w:szCs w:val="20"/>
        </w:rPr>
        <w:t>Lancashire Museums</w:t>
      </w:r>
      <w:r w:rsidRPr="00531A15">
        <w:rPr>
          <w:rFonts w:ascii="Calibri" w:hAnsi="Calibri"/>
          <w:sz w:val="20"/>
          <w:szCs w:val="20"/>
        </w:rPr>
        <w:t xml:space="preserve"> - Lancashire Museum Service has thirteen sites - of which eleven are listed buildings or scheduled ancient monuments. Five of these sites are managed by the county for districts, with three operated on behalf of other organisations.</w:t>
      </w:r>
    </w:p>
    <w:sectPr w:rsidR="00F11CAF" w:rsidRPr="00531A15" w:rsidSect="00CA2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2CD"/>
    <w:multiLevelType w:val="hybridMultilevel"/>
    <w:tmpl w:val="C89E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205F"/>
    <w:multiLevelType w:val="hybridMultilevel"/>
    <w:tmpl w:val="48822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F5FFB"/>
    <w:multiLevelType w:val="hybridMultilevel"/>
    <w:tmpl w:val="D3AC1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F18DA"/>
    <w:multiLevelType w:val="hybridMultilevel"/>
    <w:tmpl w:val="301A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D34F3"/>
    <w:multiLevelType w:val="hybridMultilevel"/>
    <w:tmpl w:val="2D70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82D0D"/>
    <w:multiLevelType w:val="hybridMultilevel"/>
    <w:tmpl w:val="F4089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25B11"/>
    <w:rsid w:val="00084304"/>
    <w:rsid w:val="000C2BC8"/>
    <w:rsid w:val="000D48EA"/>
    <w:rsid w:val="000E21C6"/>
    <w:rsid w:val="000F631A"/>
    <w:rsid w:val="001031D1"/>
    <w:rsid w:val="001071CF"/>
    <w:rsid w:val="00122AB4"/>
    <w:rsid w:val="00130EBB"/>
    <w:rsid w:val="00132701"/>
    <w:rsid w:val="00144CA6"/>
    <w:rsid w:val="001774BD"/>
    <w:rsid w:val="001936AB"/>
    <w:rsid w:val="001B6643"/>
    <w:rsid w:val="001C156F"/>
    <w:rsid w:val="001E172B"/>
    <w:rsid w:val="00241D35"/>
    <w:rsid w:val="00275FEF"/>
    <w:rsid w:val="00280EFB"/>
    <w:rsid w:val="002A3E9F"/>
    <w:rsid w:val="002B1B89"/>
    <w:rsid w:val="002B630A"/>
    <w:rsid w:val="002C2CAF"/>
    <w:rsid w:val="00356C2A"/>
    <w:rsid w:val="003869AC"/>
    <w:rsid w:val="003A070F"/>
    <w:rsid w:val="003B4230"/>
    <w:rsid w:val="003B470F"/>
    <w:rsid w:val="003F684B"/>
    <w:rsid w:val="00411DA3"/>
    <w:rsid w:val="00412645"/>
    <w:rsid w:val="00443967"/>
    <w:rsid w:val="00447231"/>
    <w:rsid w:val="00452C66"/>
    <w:rsid w:val="00464F42"/>
    <w:rsid w:val="00480F85"/>
    <w:rsid w:val="004827D5"/>
    <w:rsid w:val="00487F0F"/>
    <w:rsid w:val="00490B30"/>
    <w:rsid w:val="004D588F"/>
    <w:rsid w:val="004E121B"/>
    <w:rsid w:val="00531A15"/>
    <w:rsid w:val="00535A67"/>
    <w:rsid w:val="00563AAE"/>
    <w:rsid w:val="005957E5"/>
    <w:rsid w:val="005B386D"/>
    <w:rsid w:val="005B4B07"/>
    <w:rsid w:val="005C3A55"/>
    <w:rsid w:val="005D7692"/>
    <w:rsid w:val="005E782A"/>
    <w:rsid w:val="00604C13"/>
    <w:rsid w:val="006070FE"/>
    <w:rsid w:val="00611C35"/>
    <w:rsid w:val="006362C0"/>
    <w:rsid w:val="0064633C"/>
    <w:rsid w:val="0065624A"/>
    <w:rsid w:val="00661C31"/>
    <w:rsid w:val="00663745"/>
    <w:rsid w:val="0066742C"/>
    <w:rsid w:val="006842D6"/>
    <w:rsid w:val="0068469E"/>
    <w:rsid w:val="00692710"/>
    <w:rsid w:val="00694A2D"/>
    <w:rsid w:val="0069592C"/>
    <w:rsid w:val="00695FFD"/>
    <w:rsid w:val="006B2CE0"/>
    <w:rsid w:val="006D2C82"/>
    <w:rsid w:val="006E2B20"/>
    <w:rsid w:val="006F15DB"/>
    <w:rsid w:val="006F35E8"/>
    <w:rsid w:val="006F58CE"/>
    <w:rsid w:val="00711875"/>
    <w:rsid w:val="00716A4F"/>
    <w:rsid w:val="007467AF"/>
    <w:rsid w:val="0078538A"/>
    <w:rsid w:val="007A6EDF"/>
    <w:rsid w:val="007D00B0"/>
    <w:rsid w:val="007D2F78"/>
    <w:rsid w:val="007D6CED"/>
    <w:rsid w:val="00802F0D"/>
    <w:rsid w:val="008039DA"/>
    <w:rsid w:val="008109CC"/>
    <w:rsid w:val="008252EB"/>
    <w:rsid w:val="00825D8F"/>
    <w:rsid w:val="00846A4F"/>
    <w:rsid w:val="00851317"/>
    <w:rsid w:val="008C3BD6"/>
    <w:rsid w:val="008E30D2"/>
    <w:rsid w:val="0091404C"/>
    <w:rsid w:val="009304C0"/>
    <w:rsid w:val="009632DE"/>
    <w:rsid w:val="00997580"/>
    <w:rsid w:val="009A03DB"/>
    <w:rsid w:val="009A51F4"/>
    <w:rsid w:val="009C4647"/>
    <w:rsid w:val="009E0E1B"/>
    <w:rsid w:val="009E2D95"/>
    <w:rsid w:val="009F6174"/>
    <w:rsid w:val="00A218EA"/>
    <w:rsid w:val="00A2345B"/>
    <w:rsid w:val="00A33171"/>
    <w:rsid w:val="00A61F59"/>
    <w:rsid w:val="00A70DBC"/>
    <w:rsid w:val="00A77D9E"/>
    <w:rsid w:val="00A91829"/>
    <w:rsid w:val="00AA1B0A"/>
    <w:rsid w:val="00AB2EA2"/>
    <w:rsid w:val="00AE14AD"/>
    <w:rsid w:val="00AE7339"/>
    <w:rsid w:val="00AF1D82"/>
    <w:rsid w:val="00B05DD5"/>
    <w:rsid w:val="00B14EC1"/>
    <w:rsid w:val="00B16895"/>
    <w:rsid w:val="00B25405"/>
    <w:rsid w:val="00B26FCE"/>
    <w:rsid w:val="00B325D0"/>
    <w:rsid w:val="00B37BA8"/>
    <w:rsid w:val="00B53BE8"/>
    <w:rsid w:val="00B76728"/>
    <w:rsid w:val="00B819B1"/>
    <w:rsid w:val="00B8569B"/>
    <w:rsid w:val="00BE1BC0"/>
    <w:rsid w:val="00BE44C4"/>
    <w:rsid w:val="00BF6D91"/>
    <w:rsid w:val="00C061AA"/>
    <w:rsid w:val="00C116C8"/>
    <w:rsid w:val="00C3048D"/>
    <w:rsid w:val="00C3384B"/>
    <w:rsid w:val="00C4535B"/>
    <w:rsid w:val="00C45579"/>
    <w:rsid w:val="00C50F5C"/>
    <w:rsid w:val="00C76C67"/>
    <w:rsid w:val="00C844FA"/>
    <w:rsid w:val="00CA10C4"/>
    <w:rsid w:val="00CA2B52"/>
    <w:rsid w:val="00CB7956"/>
    <w:rsid w:val="00CE7864"/>
    <w:rsid w:val="00D02E6E"/>
    <w:rsid w:val="00D64925"/>
    <w:rsid w:val="00D839B0"/>
    <w:rsid w:val="00D91624"/>
    <w:rsid w:val="00DC714C"/>
    <w:rsid w:val="00E11356"/>
    <w:rsid w:val="00E17B81"/>
    <w:rsid w:val="00E32D62"/>
    <w:rsid w:val="00E56AA9"/>
    <w:rsid w:val="00E81309"/>
    <w:rsid w:val="00E82D35"/>
    <w:rsid w:val="00E87BBD"/>
    <w:rsid w:val="00EA1D7C"/>
    <w:rsid w:val="00ED2323"/>
    <w:rsid w:val="00EE34EC"/>
    <w:rsid w:val="00EE4C1F"/>
    <w:rsid w:val="00EE5243"/>
    <w:rsid w:val="00F11CAF"/>
    <w:rsid w:val="00F15B60"/>
    <w:rsid w:val="00F175E6"/>
    <w:rsid w:val="00F26FCF"/>
    <w:rsid w:val="00F327F9"/>
    <w:rsid w:val="00F531FF"/>
    <w:rsid w:val="00F679F6"/>
    <w:rsid w:val="00F67BFD"/>
    <w:rsid w:val="00F9314E"/>
    <w:rsid w:val="00FA6D71"/>
    <w:rsid w:val="00FA744B"/>
    <w:rsid w:val="00FB0C82"/>
    <w:rsid w:val="00FB61AD"/>
    <w:rsid w:val="00FB75C9"/>
    <w:rsid w:val="00FE0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18CAF-6A52-488E-BDEE-F83EFB7E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character" w:styleId="Hyperlink">
    <w:name w:val="Hyperlink"/>
    <w:basedOn w:val="DefaultParagraphFont"/>
    <w:uiPriority w:val="99"/>
    <w:semiHidden/>
    <w:unhideWhenUsed/>
    <w:rsid w:val="00661C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25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CatDisplay.aspx?sch=doc&amp;cat=13868&amp;path=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263C2-CE47-4E82-AB2D-0606E279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Browne, Steve (via secretary)</dc:creator>
  <cp:lastModifiedBy>Mather, Chris</cp:lastModifiedBy>
  <cp:revision>45</cp:revision>
  <cp:lastPrinted>2015-10-13T07:05:00Z</cp:lastPrinted>
  <dcterms:created xsi:type="dcterms:W3CDTF">2015-10-29T16:43:00Z</dcterms:created>
  <dcterms:modified xsi:type="dcterms:W3CDTF">2015-11-13T18:16:00Z</dcterms:modified>
</cp:coreProperties>
</file>